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VERVESEMI MICROELECTRONICS</w:t>
      </w:r>
    </w:p>
    <w:p>
      <w:r>
        <w:t>Investment Committee Memorandum  |  India semiconductor / precision analog &amp; mixed-signal  |  Evidence cut-off: 08 October 2026</w:t>
      </w:r>
    </w:p>
    <w:p>
      <w:r>
        <w:t>Recommendation: WAIT — authorize technical and commercial diligence; no pricing or investment approval.  |  Funding: $10m Series A announced 18 February 2026.  |  New round / company ask: NOT DISCLOSED.</w:t>
      </w:r>
    </w:p>
    <w:p>
      <w:r>
        <w:t>Source hierarchy: [P] public primary government/company information; [U] user research decks; [F] financial screen-recording supplied by user (Inc42/MCA-labelled interface, not an audited filing in this memo); [A] explicit analyst assumptions. Figures rounded; do not confuse a disclosed funding round with an open offer to invest.</w:t>
      </w:r>
    </w:p>
    <w:p>
      <w:pPr>
        <w:pStyle w:val="Heading1"/>
      </w:pPr>
      <w:r>
        <w:t>1. Summary</w:t>
      </w:r>
    </w:p>
    <w:p>
      <w:r>
        <w:t>Founded in 2017, Vervesemi Microelectronics is an Indian fabless developer of precision analog/mixed-signal ICs, motor-control silicon and reusable semiconductor IP for metering, industrial sensing, appliances and avionics. Its public portfolio includes 140+ IPs, 25 IC products, 10 granted patents and five trade secrets. The company announced a $10m (~₹90 crore) Series A in February 2026, but no current financing ask, instrument, valuation or allocation has been disclosed. The user-supplied financial recording reports FY25 total revenue of ₹16.4 crore, sales of ₹13.7 crore and PAT of ₹3.39 crore. Multiple products are fabricated, tested or under customer evaluation rather than proven volume manufacturing. Recommend WAIT: advance to diligence conditional on audited revenue bridge, named paid design wins, manufacturing gross margins, projected cash runway and investor entry terms. [P1][F1][U1]</w:t>
      </w:r>
    </w:p>
    <w:p>
      <w:pPr>
        <w:pStyle w:val="Heading1"/>
      </w:pPr>
      <w:r>
        <w:t>2. Problem and product</w:t>
      </w:r>
    </w:p>
    <w:p>
      <w:r>
        <w:t>What problem is solved? Physical signals (electric current, motor feedback, pressure, movement) are noisy and analog; a customer needs chips that measure these signals accurately, turn them into usable numbers, or control motors reliably. An OEM buys reliability, calibrated performance, engineering support and total system cost—not the label “AI-enabled”.</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vAlign w:val="center"/>
          </w:tcPr>
          <w:p>
            <w:r>
              <w:rPr>
                <w:sz w:val="16"/>
              </w:rPr>
              <w:t>Product / use</w:t>
            </w:r>
          </w:p>
        </w:tc>
        <w:tc>
          <w:tcPr>
            <w:tcW w:type="dxa" w:w="3273"/>
            <w:vAlign w:val="center"/>
          </w:tcPr>
          <w:p>
            <w:r>
              <w:rPr>
                <w:sz w:val="16"/>
              </w:rPr>
              <w:t>Buyer and what it replaces</w:t>
            </w:r>
          </w:p>
        </w:tc>
        <w:tc>
          <w:tcPr>
            <w:tcW w:type="dxa" w:w="3273"/>
            <w:vAlign w:val="center"/>
          </w:tcPr>
          <w:p>
            <w:r>
              <w:rPr>
                <w:sz w:val="16"/>
              </w:rPr>
              <w:t>Reason to switch; evidence needed</w:t>
            </w:r>
          </w:p>
        </w:tc>
      </w:tr>
      <w:tr>
        <w:tc>
          <w:tcPr>
            <w:tcW w:type="dxa" w:w="3273"/>
            <w:vAlign w:val="center"/>
          </w:tcPr>
          <w:p>
            <w:r>
              <w:rPr>
                <w:sz w:val="16"/>
              </w:rPr>
              <w:t>VS1111FE energy-metering AFE</w:t>
            </w:r>
          </w:p>
        </w:tc>
        <w:tc>
          <w:tcPr>
            <w:tcW w:type="dxa" w:w="3273"/>
            <w:vAlign w:val="center"/>
          </w:tcPr>
          <w:p>
            <w:r>
              <w:rPr>
                <w:sz w:val="16"/>
              </w:rPr>
              <w:t>Smart-meter OEM; imported precision energy-measurement AFE/ADC from TI/ADI-class supplier</w:t>
            </w:r>
          </w:p>
        </w:tc>
        <w:tc>
          <w:tcPr>
            <w:tcW w:type="dxa" w:w="3273"/>
            <w:vAlign w:val="center"/>
          </w:tcPr>
          <w:p>
            <w:r>
              <w:rPr>
                <w:sz w:val="16"/>
              </w:rPr>
              <w:t>Lower cost, lower calibration effort, or accuracy advantage at full meter-system level; paid meter OEM qualification</w:t>
            </w:r>
          </w:p>
        </w:tc>
      </w:tr>
      <w:tr>
        <w:tc>
          <w:tcPr>
            <w:tcW w:type="dxa" w:w="3273"/>
            <w:vAlign w:val="center"/>
          </w:tcPr>
          <w:p>
            <w:r>
              <w:rPr>
                <w:sz w:val="16"/>
              </w:rPr>
              <w:t>Bridge/load-cell IC</w:t>
            </w:r>
          </w:p>
        </w:tc>
        <w:tc>
          <w:tcPr>
            <w:tcW w:type="dxa" w:w="3273"/>
            <w:vAlign w:val="center"/>
          </w:tcPr>
          <w:p>
            <w:r>
              <w:rPr>
                <w:sz w:val="16"/>
              </w:rPr>
              <w:t>Weighing/instrumentation OEM; incumbent precision sensor-interface IC or separate amplifier + ADC</w:t>
            </w:r>
          </w:p>
        </w:tc>
        <w:tc>
          <w:tcPr>
            <w:tcW w:type="dxa" w:w="3273"/>
            <w:vAlign w:val="center"/>
          </w:tcPr>
          <w:p>
            <w:r>
              <w:rPr>
                <w:sz w:val="16"/>
              </w:rPr>
              <w:t>Fewer components, accuracy across temperature, or faster integration; independent noise/drift benchmark</w:t>
            </w:r>
          </w:p>
        </w:tc>
      </w:tr>
      <w:tr>
        <w:tc>
          <w:tcPr>
            <w:tcW w:type="dxa" w:w="3273"/>
            <w:vAlign w:val="center"/>
          </w:tcPr>
          <w:p>
            <w:r>
              <w:rPr>
                <w:sz w:val="16"/>
              </w:rPr>
              <w:t>BLDC controller family</w:t>
            </w:r>
          </w:p>
        </w:tc>
        <w:tc>
          <w:tcPr>
            <w:tcW w:type="dxa" w:w="3273"/>
            <w:vAlign w:val="center"/>
          </w:tcPr>
          <w:p>
            <w:r>
              <w:rPr>
                <w:sz w:val="16"/>
              </w:rPr>
              <w:t>Fan/pump/appliance manufacturer; existing controller MCU + gate driver + power circuitry</w:t>
            </w:r>
          </w:p>
        </w:tc>
        <w:tc>
          <w:tcPr>
            <w:tcW w:type="dxa" w:w="3273"/>
            <w:vAlign w:val="center"/>
          </w:tcPr>
          <w:p>
            <w:r>
              <w:rPr>
                <w:sz w:val="16"/>
              </w:rPr>
              <w:t>Target &lt;$1.50 complete control/power solution and 90% indigenous BOM (government programme target; not verified achieved selling price)</w:t>
            </w:r>
          </w:p>
        </w:tc>
      </w:tr>
      <w:tr>
        <w:tc>
          <w:tcPr>
            <w:tcW w:type="dxa" w:w="3273"/>
            <w:vAlign w:val="center"/>
          </w:tcPr>
          <w:p>
            <w:r>
              <w:rPr>
                <w:sz w:val="16"/>
              </w:rPr>
              <w:t>Precision motor control</w:t>
            </w:r>
          </w:p>
        </w:tc>
        <w:tc>
          <w:tcPr>
            <w:tcW w:type="dxa" w:w="3273"/>
            <w:vAlign w:val="center"/>
          </w:tcPr>
          <w:p>
            <w:r>
              <w:rPr>
                <w:sz w:val="16"/>
              </w:rPr>
              <w:t>Drone/EV/industrial OEM; incumbent motor-control MCU/DSP + driver</w:t>
            </w:r>
          </w:p>
        </w:tc>
        <w:tc>
          <w:tcPr>
            <w:tcW w:type="dxa" w:w="3273"/>
            <w:vAlign w:val="center"/>
          </w:tcPr>
          <w:p>
            <w:r>
              <w:rPr>
                <w:sz w:val="16"/>
              </w:rPr>
              <w:t>Efficiency, response, firmware/support, BOM cost; field use and reliability testing</w:t>
            </w:r>
          </w:p>
        </w:tc>
      </w:tr>
      <w:tr>
        <w:tc>
          <w:tcPr>
            <w:tcW w:type="dxa" w:w="3273"/>
            <w:vAlign w:val="center"/>
          </w:tcPr>
          <w:p>
            <w:r>
              <w:rPr>
                <w:sz w:val="16"/>
              </w:rPr>
              <w:t>55nm avionics data acquisition</w:t>
            </w:r>
          </w:p>
        </w:tc>
        <w:tc>
          <w:tcPr>
            <w:tcW w:type="dxa" w:w="3273"/>
            <w:vAlign w:val="center"/>
          </w:tcPr>
          <w:p>
            <w:r>
              <w:rPr>
                <w:sz w:val="16"/>
              </w:rPr>
              <w:t>Space/high-reliability systems OEM; imported or bespoke acquisition ASIC</w:t>
            </w:r>
          </w:p>
        </w:tc>
        <w:tc>
          <w:tcPr>
            <w:tcW w:type="dxa" w:w="3273"/>
            <w:vAlign w:val="center"/>
          </w:tcPr>
          <w:p>
            <w:r>
              <w:rPr>
                <w:sz w:val="16"/>
              </w:rPr>
              <w:t>Supply assurance and stringent qualification; customer identity and binding order status</w:t>
            </w:r>
          </w:p>
        </w:tc>
      </w:tr>
      <w:tr>
        <w:tc>
          <w:tcPr>
            <w:tcW w:type="dxa" w:w="3273"/>
            <w:vAlign w:val="center"/>
          </w:tcPr>
          <w:p>
            <w:r>
              <w:rPr>
                <w:sz w:val="16"/>
              </w:rPr>
              <w:t>IP licensing / engineering</w:t>
            </w:r>
          </w:p>
        </w:tc>
        <w:tc>
          <w:tcPr>
            <w:tcW w:type="dxa" w:w="3273"/>
            <w:vAlign w:val="center"/>
          </w:tcPr>
          <w:p>
            <w:r>
              <w:rPr>
                <w:sz w:val="16"/>
              </w:rPr>
              <w:t>Chip designers/IDMs; in-house analog IP development</w:t>
            </w:r>
          </w:p>
        </w:tc>
        <w:tc>
          <w:tcPr>
            <w:tcW w:type="dxa" w:w="3273"/>
            <w:vAlign w:val="center"/>
          </w:tcPr>
          <w:p>
            <w:r>
              <w:rPr>
                <w:sz w:val="16"/>
              </w:rPr>
              <w:t>Avoid repeated design expense and time-to-market; licensing fees, royalty terms and reuse evidence</w:t>
            </w:r>
          </w:p>
        </w:tc>
      </w:tr>
    </w:tbl>
    <w:p>
      <w:r>
        <w:t>Sales motion: evaluation samples → electrical/functional validation → design-in → qualification → purchase order → repeat production shipments. An MOU or evaluation is not a production design win. Chip sales, reusable IP licensing, and non-recurring engineering (NRE) must be analysed as separate businesses. [P1][P2][U1]</w:t>
      </w:r>
    </w:p>
    <w:p>
      <w:pPr>
        <w:pStyle w:val="Heading1"/>
      </w:pPr>
      <w:r>
        <w:t>3. Technology and IP</w:t>
      </w:r>
    </w:p>
    <w:p>
      <w:r>
        <w:t>Architecture: precision analog front-end/data conversion with embedded calibration/adaptive correction, plus digital logic or RISC-V-based motor control where appropriate. “Self-healing/ML-enhanced” is a company technology claim, not proof of a measured moat. Demand same-condition benchmarks against TI/ADI/ST incumbents: ENOB/noise, drift, power, total BOM, yield, failure rates and qualification cost. [P2]</w:t>
      </w:r>
    </w:p>
    <w:tbl>
      <w:tblPr>
        <w:tblStyle w:val="LightShading-Accent1"/>
        <w:tblW w:type="auto" w:w="0"/>
        <w:jc w:val="center"/>
        <w:tblLook w:firstColumn="1" w:firstRow="1" w:lastColumn="0" w:lastRow="0" w:noHBand="0" w:noVBand="1" w:val="04A0"/>
      </w:tblPr>
      <w:tblGrid>
        <w:gridCol w:w="2455"/>
        <w:gridCol w:w="2455"/>
        <w:gridCol w:w="2455"/>
        <w:gridCol w:w="2455"/>
      </w:tblGrid>
      <w:tr>
        <w:tc>
          <w:tcPr>
            <w:tcW w:type="dxa" w:w="2455"/>
            <w:vAlign w:val="center"/>
          </w:tcPr>
          <w:p>
            <w:r>
              <w:rPr>
                <w:sz w:val="16"/>
              </w:rPr>
              <w:t>Programme</w:t>
            </w:r>
          </w:p>
        </w:tc>
        <w:tc>
          <w:tcPr>
            <w:tcW w:type="dxa" w:w="2455"/>
            <w:vAlign w:val="center"/>
          </w:tcPr>
          <w:p>
            <w:r>
              <w:rPr>
                <w:sz w:val="16"/>
              </w:rPr>
              <w:t>Foundry / node</w:t>
            </w:r>
          </w:p>
        </w:tc>
        <w:tc>
          <w:tcPr>
            <w:tcW w:type="dxa" w:w="2455"/>
            <w:vAlign w:val="center"/>
          </w:tcPr>
          <w:p>
            <w:r>
              <w:rPr>
                <w:sz w:val="16"/>
              </w:rPr>
              <w:t>Public status at Feb 2026</w:t>
            </w:r>
          </w:p>
        </w:tc>
        <w:tc>
          <w:tcPr>
            <w:tcW w:type="dxa" w:w="2455"/>
            <w:vAlign w:val="center"/>
          </w:tcPr>
          <w:p>
            <w:r>
              <w:rPr>
                <w:sz w:val="16"/>
              </w:rPr>
              <w:t>Target</w:t>
            </w:r>
          </w:p>
        </w:tc>
      </w:tr>
      <w:tr>
        <w:tc>
          <w:tcPr>
            <w:tcW w:type="dxa" w:w="2455"/>
            <w:vAlign w:val="center"/>
          </w:tcPr>
          <w:p>
            <w:r>
              <w:rPr>
                <w:sz w:val="16"/>
              </w:rPr>
              <w:t>Avionics multifunction data-acquisition ASIC</w:t>
            </w:r>
          </w:p>
        </w:tc>
        <w:tc>
          <w:tcPr>
            <w:tcW w:type="dxa" w:w="2455"/>
            <w:vAlign w:val="center"/>
          </w:tcPr>
          <w:p>
            <w:r>
              <w:rPr>
                <w:sz w:val="16"/>
              </w:rPr>
              <w:t>UMC 55nm</w:t>
            </w:r>
          </w:p>
        </w:tc>
        <w:tc>
          <w:tcPr>
            <w:tcW w:type="dxa" w:w="2455"/>
            <w:vAlign w:val="center"/>
          </w:tcPr>
          <w:p>
            <w:r>
              <w:rPr>
                <w:sz w:val="16"/>
              </w:rPr>
              <w:t>Fabricated; identified space customer evaluating</w:t>
            </w:r>
          </w:p>
        </w:tc>
        <w:tc>
          <w:tcPr>
            <w:tcW w:type="dxa" w:w="2455"/>
            <w:vAlign w:val="center"/>
          </w:tcPr>
          <w:p>
            <w:r>
              <w:rPr>
                <w:sz w:val="16"/>
              </w:rPr>
              <w:t>Q1 2027</w:t>
            </w:r>
          </w:p>
        </w:tc>
      </w:tr>
      <w:tr>
        <w:tc>
          <w:tcPr>
            <w:tcW w:type="dxa" w:w="2455"/>
            <w:vAlign w:val="center"/>
          </w:tcPr>
          <w:p>
            <w:r>
              <w:rPr>
                <w:sz w:val="16"/>
              </w:rPr>
              <w:t>BLDC controller family</w:t>
            </w:r>
          </w:p>
        </w:tc>
        <w:tc>
          <w:tcPr>
            <w:tcW w:type="dxa" w:w="2455"/>
            <w:vAlign w:val="center"/>
          </w:tcPr>
          <w:p>
            <w:r>
              <w:rPr>
                <w:sz w:val="16"/>
              </w:rPr>
              <w:t>UMC 110nm</w:t>
            </w:r>
          </w:p>
        </w:tc>
        <w:tc>
          <w:tcPr>
            <w:tcW w:type="dxa" w:w="2455"/>
            <w:vAlign w:val="center"/>
          </w:tcPr>
          <w:p>
            <w:r>
              <w:rPr>
                <w:sz w:val="16"/>
              </w:rPr>
              <w:t>Controller in fabrication; gate-driver/MOSFET silicon fabricated and under evaluation</w:t>
            </w:r>
          </w:p>
        </w:tc>
        <w:tc>
          <w:tcPr>
            <w:tcW w:type="dxa" w:w="2455"/>
            <w:vAlign w:val="center"/>
          </w:tcPr>
          <w:p>
            <w:r>
              <w:rPr>
                <w:sz w:val="16"/>
              </w:rPr>
              <w:t>Q4 2026</w:t>
            </w:r>
          </w:p>
        </w:tc>
      </w:tr>
      <w:tr>
        <w:tc>
          <w:tcPr>
            <w:tcW w:type="dxa" w:w="2455"/>
            <w:vAlign w:val="center"/>
          </w:tcPr>
          <w:p>
            <w:r>
              <w:rPr>
                <w:sz w:val="16"/>
              </w:rPr>
              <w:t>Precision motor-control RISC-V IC</w:t>
            </w:r>
          </w:p>
        </w:tc>
        <w:tc>
          <w:tcPr>
            <w:tcW w:type="dxa" w:w="2455"/>
            <w:vAlign w:val="center"/>
          </w:tcPr>
          <w:p>
            <w:r>
              <w:rPr>
                <w:sz w:val="16"/>
              </w:rPr>
              <w:t>UMC 55nm</w:t>
            </w:r>
          </w:p>
        </w:tc>
        <w:tc>
          <w:tcPr>
            <w:tcW w:type="dxa" w:w="2455"/>
            <w:vAlign w:val="center"/>
          </w:tcPr>
          <w:p>
            <w:r>
              <w:rPr>
                <w:sz w:val="16"/>
              </w:rPr>
              <w:t>Fabricated, under testing</w:t>
            </w:r>
          </w:p>
        </w:tc>
        <w:tc>
          <w:tcPr>
            <w:tcW w:type="dxa" w:w="2455"/>
            <w:vAlign w:val="center"/>
          </w:tcPr>
          <w:p>
            <w:r>
              <w:rPr>
                <w:sz w:val="16"/>
              </w:rPr>
              <w:t>Q3 2026</w:t>
            </w:r>
          </w:p>
        </w:tc>
      </w:tr>
      <w:tr>
        <w:tc>
          <w:tcPr>
            <w:tcW w:type="dxa" w:w="2455"/>
            <w:vAlign w:val="center"/>
          </w:tcPr>
          <w:p>
            <w:r>
              <w:rPr>
                <w:sz w:val="16"/>
              </w:rPr>
              <w:t>Energy-metering IC</w:t>
            </w:r>
          </w:p>
        </w:tc>
        <w:tc>
          <w:tcPr>
            <w:tcW w:type="dxa" w:w="2455"/>
            <w:vAlign w:val="center"/>
          </w:tcPr>
          <w:p>
            <w:r>
              <w:rPr>
                <w:sz w:val="16"/>
              </w:rPr>
              <w:t>TSMC 180nm</w:t>
            </w:r>
          </w:p>
        </w:tc>
        <w:tc>
          <w:tcPr>
            <w:tcW w:type="dxa" w:w="2455"/>
            <w:vAlign w:val="center"/>
          </w:tcPr>
          <w:p>
            <w:r>
              <w:rPr>
                <w:sz w:val="16"/>
              </w:rPr>
              <w:t>Fabricated and tested</w:t>
            </w:r>
          </w:p>
        </w:tc>
        <w:tc>
          <w:tcPr>
            <w:tcW w:type="dxa" w:w="2455"/>
            <w:vAlign w:val="center"/>
          </w:tcPr>
          <w:p>
            <w:r>
              <w:rPr>
                <w:sz w:val="16"/>
              </w:rPr>
              <w:t>Q4 2026</w:t>
            </w:r>
          </w:p>
        </w:tc>
      </w:tr>
      <w:tr>
        <w:tc>
          <w:tcPr>
            <w:tcW w:type="dxa" w:w="2455"/>
            <w:vAlign w:val="center"/>
          </w:tcPr>
          <w:p>
            <w:r>
              <w:rPr>
                <w:sz w:val="16"/>
              </w:rPr>
              <w:t>Bridge-application IC</w:t>
            </w:r>
          </w:p>
        </w:tc>
        <w:tc>
          <w:tcPr>
            <w:tcW w:type="dxa" w:w="2455"/>
            <w:vAlign w:val="center"/>
          </w:tcPr>
          <w:p>
            <w:r>
              <w:rPr>
                <w:sz w:val="16"/>
              </w:rPr>
              <w:t>TSMC 180nm</w:t>
            </w:r>
          </w:p>
        </w:tc>
        <w:tc>
          <w:tcPr>
            <w:tcW w:type="dxa" w:w="2455"/>
            <w:vAlign w:val="center"/>
          </w:tcPr>
          <w:p>
            <w:r>
              <w:rPr>
                <w:sz w:val="16"/>
              </w:rPr>
              <w:t>Fabricated and tested</w:t>
            </w:r>
          </w:p>
        </w:tc>
        <w:tc>
          <w:tcPr>
            <w:tcW w:type="dxa" w:w="2455"/>
            <w:vAlign w:val="center"/>
          </w:tcPr>
          <w:p>
            <w:r>
              <w:rPr>
                <w:sz w:val="16"/>
              </w:rPr>
              <w:t>Q3 2026</w:t>
            </w:r>
          </w:p>
        </w:tc>
      </w:tr>
    </w:tbl>
    <w:p>
      <w:r>
        <w:t>Claims: 140+ IP assets, 25 IC products, 10 granted patents, five trade secrets; Samsung SAFE and UMC IP/foundry ecosystem participation reported in user decks. Confirm patent numbers, ownership, freedom to operate, licensing encumbrances, exact foundry reservations, wafer yields, OSAT/test coverage and current Q3/Q4 production milestones. “Tape-out”, tested silicon, qualification and paid volume orders are four different milestones. [P1][U1]</w:t>
      </w:r>
    </w:p>
    <w:p>
      <w:pPr>
        <w:pStyle w:val="Heading1"/>
      </w:pPr>
      <w:r>
        <w:t>4. Market</w:t>
      </w:r>
    </w:p>
    <w:p>
      <w:r>
        <w:t>A user-provided research deck cites a WSTS Spring 2026 global ANALOG market forecast of ~$95.4bn for calendar 2026 and ~$101.7bn in 2027. This is a broad category, NOT Vervesemi’s serviceable market or forecast revenue. Its true SAM comprises much narrower product pools: energy-meter AFEs, bridge/load-cell converters, BLDC controllers, precision industrial acquisition and space-rated acquisition ASICs. Size these separately by annual equipment units × sockets per unit × obtainable chip ASP, and separate India from export demand. [U3]</w:t>
      </w:r>
    </w:p>
    <w:p>
      <w:r>
        <w:t>Direct competitors: Texas Instruments and Analog Devices in precision AFE/data conversion; Microchip, ST, TI and Infineon where motor control and power drivers overlap. Threat of substitution: MCU with integrated ADC, integrated digital sensor module, custom OEM SoC/ASIC, or conventional ADC + software calibration. Mature incumbents bring support tools, product longevity and qualification history; substitutability depends on noise, resolution, cost and customer redesign burden.</w:t>
      </w:r>
    </w:p>
    <w:p>
      <w:r>
        <w:t>Break-even volume model [A]: incremental product business fixed operating costs / unit contribution. If incremental fixed annual spend = ₹12 crore, average realization per chip = ₹150 and variable cost = ₹75, contribution = ₹75/chip; break-even volume is 16 lakh chips/year. At 4 crore addressable sockets/year, that is a 4.0% share. At ₹300 ASP and ₹120 variable cost, contribution ₹180, break-even is ~6.67 lakh units (1.7% of 4 crore sockets). THESE ARE ILLUSTRATIVE, NOT COMPANY COSTS OR MARKET-SIZE EVIDENCE. Licensing/NRE revenue and corporate overhead must be modelled separately.</w:t>
      </w:r>
    </w:p>
    <w:p>
      <w:pPr>
        <w:pStyle w:val="Heading1"/>
      </w:pPr>
      <w:r>
        <w:t>5. Team</w:t>
      </w:r>
    </w:p>
    <w:p>
      <w:r>
        <w:t>Rakesh Malik (CEO/co-founder): ~35+ years of semiconductor experience and senior STMicroelectronics background, with published references to high-speed data conversion, patents and technical publications. Pratap Narayan Singh (CTO/co-founder): ~20+ years of analog/RF/data converter experience including STMicroelectronics and Wolfson; IIT Roorkee background. The founding team is technically credible and has demonstrated multi-process-node silicon work. No verified prior founder exit is evidenced in the supplied research; do not claim one. [U1][P1]</w:t>
      </w:r>
    </w:p>
    <w:p>
      <w:r>
        <w:t>Likely near-term execution hires (to verify): VP product/commercialization, automotive/industrial field-applications engineers, production test/yield and quality/reliability leaders, global account sales, and a finance/controller lead able to track margin and cash by SKU. A central diligence question is whether the founding team can commercialize 25 SKUs without excessive spread of engineering resources.</w:t>
      </w:r>
    </w:p>
    <w:p>
      <w:pPr>
        <w:pStyle w:val="Heading1"/>
      </w:pPr>
      <w:r>
        <w:t>6. Traction and milestones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vAlign w:val="center"/>
          </w:tcPr>
          <w:p>
            <w:r>
              <w:rPr>
                <w:sz w:val="16"/>
              </w:rPr>
              <w:t>Public indication</w:t>
            </w:r>
          </w:p>
        </w:tc>
        <w:tc>
          <w:tcPr>
            <w:tcW w:type="dxa" w:w="3273"/>
            <w:vAlign w:val="center"/>
          </w:tcPr>
          <w:p>
            <w:r>
              <w:rPr>
                <w:sz w:val="16"/>
              </w:rPr>
              <w:t>Strength / caveat</w:t>
            </w:r>
          </w:p>
        </w:tc>
        <w:tc>
          <w:tcPr>
            <w:tcW w:type="dxa" w:w="3273"/>
            <w:vAlign w:val="center"/>
          </w:tcPr>
          <w:p>
            <w:r>
              <w:rPr>
                <w:sz w:val="16"/>
              </w:rPr>
              <w:t>12–18 month evidence milestone</w:t>
            </w:r>
          </w:p>
        </w:tc>
      </w:tr>
      <w:tr>
        <w:tc>
          <w:tcPr>
            <w:tcW w:type="dxa" w:w="3273"/>
            <w:vAlign w:val="center"/>
          </w:tcPr>
          <w:p>
            <w:r>
              <w:rPr>
                <w:sz w:val="16"/>
              </w:rPr>
              <w:t>UMC/TSMC fabricated silicon across multiple products</w:t>
            </w:r>
          </w:p>
        </w:tc>
        <w:tc>
          <w:tcPr>
            <w:tcW w:type="dxa" w:w="3273"/>
            <w:vAlign w:val="center"/>
          </w:tcPr>
          <w:p>
            <w:r>
              <w:rPr>
                <w:sz w:val="16"/>
              </w:rPr>
              <w:t>Strong technical de-risking; no evidence all five are volume-ready</w:t>
            </w:r>
          </w:p>
        </w:tc>
        <w:tc>
          <w:tcPr>
            <w:tcW w:type="dxa" w:w="3273"/>
            <w:vAlign w:val="center"/>
          </w:tcPr>
          <w:p>
            <w:r>
              <w:rPr>
                <w:sz w:val="16"/>
              </w:rPr>
              <w:t>Publish per-SKU production readiness, first customer qualification and production yields</w:t>
            </w:r>
          </w:p>
        </w:tc>
      </w:tr>
      <w:tr>
        <w:tc>
          <w:tcPr>
            <w:tcW w:type="dxa" w:w="3273"/>
            <w:vAlign w:val="center"/>
          </w:tcPr>
          <w:p>
            <w:r>
              <w:rPr>
                <w:sz w:val="16"/>
              </w:rPr>
              <w:t>Identified space customer evaluating avionic ASIC</w:t>
            </w:r>
          </w:p>
        </w:tc>
        <w:tc>
          <w:tcPr>
            <w:tcW w:type="dxa" w:w="3273"/>
            <w:vAlign w:val="center"/>
          </w:tcPr>
          <w:p>
            <w:r>
              <w:rPr>
                <w:sz w:val="16"/>
              </w:rPr>
              <w:t>Credible demand route; entity and firm volume not public</w:t>
            </w:r>
          </w:p>
        </w:tc>
        <w:tc>
          <w:tcPr>
            <w:tcW w:type="dxa" w:w="3273"/>
            <w:vAlign w:val="center"/>
          </w:tcPr>
          <w:p>
            <w:r>
              <w:rPr>
                <w:sz w:val="16"/>
              </w:rPr>
              <w:t>Document validated design win, contracted PO/LOI details and Q1-2027 schedule</w:t>
            </w:r>
          </w:p>
        </w:tc>
      </w:tr>
      <w:tr>
        <w:tc>
          <w:tcPr>
            <w:tcW w:type="dxa" w:w="3273"/>
            <w:vAlign w:val="center"/>
          </w:tcPr>
          <w:p>
            <w:r>
              <w:rPr>
                <w:sz w:val="16"/>
              </w:rPr>
              <w:t>Energy metering and bridge ICs fabricated/tested</w:t>
            </w:r>
          </w:p>
        </w:tc>
        <w:tc>
          <w:tcPr>
            <w:tcW w:type="dxa" w:w="3273"/>
            <w:vAlign w:val="center"/>
          </w:tcPr>
          <w:p>
            <w:r>
              <w:rPr>
                <w:sz w:val="16"/>
              </w:rPr>
              <w:t>Product readiness, not sell-through</w:t>
            </w:r>
          </w:p>
        </w:tc>
        <w:tc>
          <w:tcPr>
            <w:tcW w:type="dxa" w:w="3273"/>
            <w:vAlign w:val="center"/>
          </w:tcPr>
          <w:p>
            <w:r>
              <w:rPr>
                <w:sz w:val="16"/>
              </w:rPr>
              <w:t>Secure 2 named paying OEMs and quarterly repeat shipments</w:t>
            </w:r>
          </w:p>
        </w:tc>
      </w:tr>
      <w:tr>
        <w:tc>
          <w:tcPr>
            <w:tcW w:type="dxa" w:w="3273"/>
            <w:vAlign w:val="center"/>
          </w:tcPr>
          <w:p>
            <w:r>
              <w:rPr>
                <w:sz w:val="16"/>
              </w:rPr>
              <w:t>BLDC family C2S project</w:t>
            </w:r>
          </w:p>
        </w:tc>
        <w:tc>
          <w:tcPr>
            <w:tcW w:type="dxa" w:w="3273"/>
            <w:vAlign w:val="center"/>
          </w:tcPr>
          <w:p>
            <w:r>
              <w:rPr>
                <w:sz w:val="16"/>
              </w:rPr>
              <w:t>MeitY backed; system-cost target is not yet demonstrated commercial ASP</w:t>
            </w:r>
          </w:p>
        </w:tc>
        <w:tc>
          <w:tcPr>
            <w:tcW w:type="dxa" w:w="3273"/>
            <w:vAlign w:val="center"/>
          </w:tcPr>
          <w:p>
            <w:r>
              <w:rPr>
                <w:sz w:val="16"/>
              </w:rPr>
              <w:t>Demonstrate BOM economics, safety and reliability, sample-to-order conversion</w:t>
            </w:r>
          </w:p>
        </w:tc>
      </w:tr>
      <w:tr>
        <w:tc>
          <w:tcPr>
            <w:tcW w:type="dxa" w:w="3273"/>
            <w:vAlign w:val="center"/>
          </w:tcPr>
          <w:p>
            <w:r>
              <w:rPr>
                <w:sz w:val="16"/>
              </w:rPr>
              <w:t>DLI approval + C2S support</w:t>
            </w:r>
          </w:p>
        </w:tc>
        <w:tc>
          <w:tcPr>
            <w:tcW w:type="dxa" w:w="3273"/>
            <w:vAlign w:val="center"/>
          </w:tcPr>
          <w:p>
            <w:r>
              <w:rPr>
                <w:sz w:val="16"/>
              </w:rPr>
              <w:t>A user deck reports ₹13.53cr approved 30-month DLI project; receipt not reconciled</w:t>
            </w:r>
          </w:p>
        </w:tc>
        <w:tc>
          <w:tcPr>
            <w:tcW w:type="dxa" w:w="3273"/>
            <w:vAlign w:val="center"/>
          </w:tcPr>
          <w:p>
            <w:r>
              <w:rPr>
                <w:sz w:val="16"/>
              </w:rPr>
              <w:t>Obtain sanction letter, milestone invoices and actual cash received</w:t>
            </w:r>
          </w:p>
        </w:tc>
      </w:tr>
    </w:tbl>
    <w:p>
      <w:r>
        <w:t>Milestone sequencing: 0–6 months, independently verify finished silicon, qualification and customer buying conditions; 6–12 months, audited product-level shipments and yields; 12–18 months, more than one customer with recurring orders, documented gross margins and a financing plan. Use Q3/Q4 2026 goals as deadlines to verify, not accomplishments. [P1][P3][U1]</w:t>
      </w:r>
    </w:p>
    <w:p>
      <w:pPr>
        <w:pStyle w:val="Heading1"/>
      </w:pPr>
      <w:r>
        <w:t>7. Financials</w:t>
      </w:r>
    </w:p>
    <w:p>
      <w:r>
        <w:t>FINANCIAL DATA BASIS: Financial video supplied by user shows an Inc42-style historical financials interface labelled MCA filings. These are SECONDARY SCREEN DATA, not original signed audited statements. Company FY26 annual statements, management cash data and post-Series-A cap table were not supplied. [F1]</w:t>
      </w:r>
    </w:p>
    <w:tbl>
      <w:tblPr>
        <w:tblStyle w:val="LightShading-Accent1"/>
        <w:tblW w:type="auto" w:w="0"/>
        <w:jc w:val="center"/>
        <w:tblLook w:firstColumn="1" w:firstRow="1" w:lastColumn="0" w:lastRow="0" w:noHBand="0" w:noVBand="1" w:val="04A0"/>
      </w:tblPr>
      <w:tblGrid>
        <w:gridCol w:w="2455"/>
        <w:gridCol w:w="2455"/>
        <w:gridCol w:w="2455"/>
        <w:gridCol w:w="2455"/>
      </w:tblGrid>
      <w:tr>
        <w:tc>
          <w:tcPr>
            <w:tcW w:type="dxa" w:w="2455"/>
            <w:vAlign w:val="center"/>
          </w:tcPr>
          <w:p>
            <w:r>
              <w:rPr>
                <w:sz w:val="16"/>
              </w:rPr>
              <w:t>₹ crore except as stated</w:t>
            </w:r>
          </w:p>
        </w:tc>
        <w:tc>
          <w:tcPr>
            <w:tcW w:type="dxa" w:w="2455"/>
            <w:vAlign w:val="center"/>
          </w:tcPr>
          <w:p>
            <w:r>
              <w:rPr>
                <w:sz w:val="16"/>
              </w:rPr>
              <w:t>FY24</w:t>
            </w:r>
          </w:p>
        </w:tc>
        <w:tc>
          <w:tcPr>
            <w:tcW w:type="dxa" w:w="2455"/>
            <w:vAlign w:val="center"/>
          </w:tcPr>
          <w:p>
            <w:r>
              <w:rPr>
                <w:sz w:val="16"/>
              </w:rPr>
              <w:t>FY25</w:t>
            </w:r>
          </w:p>
        </w:tc>
        <w:tc>
          <w:tcPr>
            <w:tcW w:type="dxa" w:w="2455"/>
            <w:vAlign w:val="center"/>
          </w:tcPr>
          <w:p>
            <w:r>
              <w:rPr>
                <w:sz w:val="16"/>
              </w:rPr>
              <w:t>Comment</w:t>
            </w:r>
          </w:p>
        </w:tc>
      </w:tr>
      <w:tr>
        <w:tc>
          <w:tcPr>
            <w:tcW w:type="dxa" w:w="2455"/>
            <w:vAlign w:val="center"/>
          </w:tcPr>
          <w:p>
            <w:r>
              <w:rPr>
                <w:sz w:val="16"/>
              </w:rPr>
              <w:t>Total revenue</w:t>
            </w:r>
          </w:p>
        </w:tc>
        <w:tc>
          <w:tcPr>
            <w:tcW w:type="dxa" w:w="2455"/>
            <w:vAlign w:val="center"/>
          </w:tcPr>
          <w:p>
            <w:r>
              <w:rPr>
                <w:sz w:val="16"/>
              </w:rPr>
              <w:t>14.8</w:t>
            </w:r>
          </w:p>
        </w:tc>
        <w:tc>
          <w:tcPr>
            <w:tcW w:type="dxa" w:w="2455"/>
            <w:vAlign w:val="center"/>
          </w:tcPr>
          <w:p>
            <w:r>
              <w:rPr>
                <w:sz w:val="16"/>
              </w:rPr>
              <w:t>16.4</w:t>
            </w:r>
          </w:p>
        </w:tc>
        <w:tc>
          <w:tcPr>
            <w:tcW w:type="dxa" w:w="2455"/>
            <w:vAlign w:val="center"/>
          </w:tcPr>
          <w:p>
            <w:r>
              <w:rPr>
                <w:sz w:val="16"/>
              </w:rPr>
              <w:t>Includes non-sales income; not synonymous with sales</w:t>
            </w:r>
          </w:p>
        </w:tc>
      </w:tr>
      <w:tr>
        <w:tc>
          <w:tcPr>
            <w:tcW w:type="dxa" w:w="2455"/>
            <w:vAlign w:val="center"/>
          </w:tcPr>
          <w:p>
            <w:r>
              <w:rPr>
                <w:sz w:val="16"/>
              </w:rPr>
              <w:t>Total sales</w:t>
            </w:r>
          </w:p>
        </w:tc>
        <w:tc>
          <w:tcPr>
            <w:tcW w:type="dxa" w:w="2455"/>
            <w:vAlign w:val="center"/>
          </w:tcPr>
          <w:p>
            <w:r>
              <w:rPr>
                <w:sz w:val="16"/>
              </w:rPr>
              <w:t>14.7</w:t>
            </w:r>
          </w:p>
        </w:tc>
        <w:tc>
          <w:tcPr>
            <w:tcW w:type="dxa" w:w="2455"/>
            <w:vAlign w:val="center"/>
          </w:tcPr>
          <w:p>
            <w:r>
              <w:rPr>
                <w:sz w:val="16"/>
              </w:rPr>
              <w:t>13.7</w:t>
            </w:r>
          </w:p>
        </w:tc>
        <w:tc>
          <w:tcPr>
            <w:tcW w:type="dxa" w:w="2455"/>
            <w:vAlign w:val="center"/>
          </w:tcPr>
          <w:p>
            <w:r>
              <w:rPr>
                <w:sz w:val="16"/>
              </w:rPr>
              <w:t>Declined ~6.8% YoY</w:t>
            </w:r>
          </w:p>
        </w:tc>
      </w:tr>
      <w:tr>
        <w:tc>
          <w:tcPr>
            <w:tcW w:type="dxa" w:w="2455"/>
            <w:vAlign w:val="center"/>
          </w:tcPr>
          <w:p>
            <w:r>
              <w:rPr>
                <w:sz w:val="16"/>
              </w:rPr>
              <w:t>Total expenses</w:t>
            </w:r>
          </w:p>
        </w:tc>
        <w:tc>
          <w:tcPr>
            <w:tcW w:type="dxa" w:w="2455"/>
            <w:vAlign w:val="center"/>
          </w:tcPr>
          <w:p>
            <w:r>
              <w:rPr>
                <w:sz w:val="16"/>
              </w:rPr>
              <w:t>8.73</w:t>
            </w:r>
          </w:p>
        </w:tc>
        <w:tc>
          <w:tcPr>
            <w:tcW w:type="dxa" w:w="2455"/>
            <w:vAlign w:val="center"/>
          </w:tcPr>
          <w:p>
            <w:r>
              <w:rPr>
                <w:sz w:val="16"/>
              </w:rPr>
              <w:t>11.8</w:t>
            </w:r>
          </w:p>
        </w:tc>
        <w:tc>
          <w:tcPr>
            <w:tcW w:type="dxa" w:w="2455"/>
            <w:vAlign w:val="center"/>
          </w:tcPr>
          <w:p>
            <w:r>
              <w:rPr>
                <w:sz w:val="16"/>
              </w:rPr>
              <w:t>Increased materially</w:t>
            </w:r>
          </w:p>
        </w:tc>
      </w:tr>
      <w:tr>
        <w:tc>
          <w:tcPr>
            <w:tcW w:type="dxa" w:w="2455"/>
            <w:vAlign w:val="center"/>
          </w:tcPr>
          <w:p>
            <w:r>
              <w:rPr>
                <w:sz w:val="16"/>
              </w:rPr>
              <w:t>EBITDA</w:t>
            </w:r>
          </w:p>
        </w:tc>
        <w:tc>
          <w:tcPr>
            <w:tcW w:type="dxa" w:w="2455"/>
            <w:vAlign w:val="center"/>
          </w:tcPr>
          <w:p>
            <w:r>
              <w:rPr>
                <w:sz w:val="16"/>
              </w:rPr>
              <w:t>6.43</w:t>
            </w:r>
          </w:p>
        </w:tc>
        <w:tc>
          <w:tcPr>
            <w:tcW w:type="dxa" w:w="2455"/>
            <w:vAlign w:val="center"/>
          </w:tcPr>
          <w:p>
            <w:r>
              <w:rPr>
                <w:sz w:val="16"/>
              </w:rPr>
              <w:t>4.93</w:t>
            </w:r>
          </w:p>
        </w:tc>
        <w:tc>
          <w:tcPr>
            <w:tcW w:type="dxa" w:w="2455"/>
            <w:vAlign w:val="center"/>
          </w:tcPr>
          <w:p>
            <w:r>
              <w:rPr>
                <w:sz w:val="16"/>
              </w:rPr>
              <w:t>~43.4% → ~30.1% of total revenue</w:t>
            </w:r>
          </w:p>
        </w:tc>
      </w:tr>
      <w:tr>
        <w:tc>
          <w:tcPr>
            <w:tcW w:type="dxa" w:w="2455"/>
            <w:vAlign w:val="center"/>
          </w:tcPr>
          <w:p>
            <w:r>
              <w:rPr>
                <w:sz w:val="16"/>
              </w:rPr>
              <w:t>EBIT</w:t>
            </w:r>
          </w:p>
        </w:tc>
        <w:tc>
          <w:tcPr>
            <w:tcW w:type="dxa" w:w="2455"/>
            <w:vAlign w:val="center"/>
          </w:tcPr>
          <w:p>
            <w:r>
              <w:rPr>
                <w:sz w:val="16"/>
              </w:rPr>
              <w:t>6.07</w:t>
            </w:r>
          </w:p>
        </w:tc>
        <w:tc>
          <w:tcPr>
            <w:tcW w:type="dxa" w:w="2455"/>
            <w:vAlign w:val="center"/>
          </w:tcPr>
          <w:p>
            <w:r>
              <w:rPr>
                <w:sz w:val="16"/>
              </w:rPr>
              <w:t>4.60</w:t>
            </w:r>
          </w:p>
        </w:tc>
        <w:tc>
          <w:tcPr>
            <w:tcW w:type="dxa" w:w="2455"/>
            <w:vAlign w:val="center"/>
          </w:tcPr>
          <w:p>
            <w:r>
              <w:rPr>
                <w:sz w:val="16"/>
              </w:rPr>
              <w:t>Profit from operations as screen-labelled</w:t>
            </w:r>
          </w:p>
        </w:tc>
      </w:tr>
      <w:tr>
        <w:tc>
          <w:tcPr>
            <w:tcW w:type="dxa" w:w="2455"/>
            <w:vAlign w:val="center"/>
          </w:tcPr>
          <w:p>
            <w:r>
              <w:rPr>
                <w:sz w:val="16"/>
              </w:rPr>
              <w:t>PAT</w:t>
            </w:r>
          </w:p>
        </w:tc>
        <w:tc>
          <w:tcPr>
            <w:tcW w:type="dxa" w:w="2455"/>
            <w:vAlign w:val="center"/>
          </w:tcPr>
          <w:p>
            <w:r>
              <w:rPr>
                <w:sz w:val="16"/>
              </w:rPr>
              <w:t>5.06</w:t>
            </w:r>
          </w:p>
        </w:tc>
        <w:tc>
          <w:tcPr>
            <w:tcW w:type="dxa" w:w="2455"/>
            <w:vAlign w:val="center"/>
          </w:tcPr>
          <w:p>
            <w:r>
              <w:rPr>
                <w:sz w:val="16"/>
              </w:rPr>
              <w:t>3.39</w:t>
            </w:r>
          </w:p>
        </w:tc>
        <w:tc>
          <w:tcPr>
            <w:tcW w:type="dxa" w:w="2455"/>
            <w:vAlign w:val="center"/>
          </w:tcPr>
          <w:p>
            <w:r>
              <w:rPr>
                <w:sz w:val="16"/>
              </w:rPr>
              <w:t>~34.2% → ~20.7% of total revenue</w:t>
            </w:r>
          </w:p>
        </w:tc>
      </w:tr>
      <w:tr>
        <w:tc>
          <w:tcPr>
            <w:tcW w:type="dxa" w:w="2455"/>
            <w:vAlign w:val="center"/>
          </w:tcPr>
          <w:p>
            <w:r>
              <w:rPr>
                <w:sz w:val="16"/>
              </w:rPr>
              <w:t>Total assets</w:t>
            </w:r>
          </w:p>
        </w:tc>
        <w:tc>
          <w:tcPr>
            <w:tcW w:type="dxa" w:w="2455"/>
            <w:vAlign w:val="center"/>
          </w:tcPr>
          <w:p>
            <w:r>
              <w:rPr>
                <w:sz w:val="16"/>
              </w:rPr>
              <w:t>10.6</w:t>
            </w:r>
          </w:p>
        </w:tc>
        <w:tc>
          <w:tcPr>
            <w:tcW w:type="dxa" w:w="2455"/>
            <w:vAlign w:val="center"/>
          </w:tcPr>
          <w:p>
            <w:r>
              <w:rPr>
                <w:sz w:val="16"/>
              </w:rPr>
              <w:t>15.6</w:t>
            </w:r>
          </w:p>
        </w:tc>
        <w:tc>
          <w:tcPr>
            <w:tcW w:type="dxa" w:w="2455"/>
            <w:vAlign w:val="center"/>
          </w:tcPr>
          <w:p>
            <w:r>
              <w:rPr>
                <w:sz w:val="16"/>
              </w:rPr>
              <w:t>Historical, before Feb 2026 raise</w:t>
            </w:r>
          </w:p>
        </w:tc>
      </w:tr>
      <w:tr>
        <w:tc>
          <w:tcPr>
            <w:tcW w:type="dxa" w:w="2455"/>
            <w:vAlign w:val="center"/>
          </w:tcPr>
          <w:p>
            <w:r>
              <w:rPr>
                <w:sz w:val="16"/>
              </w:rPr>
              <w:t>Receivables</w:t>
            </w:r>
          </w:p>
        </w:tc>
        <w:tc>
          <w:tcPr>
            <w:tcW w:type="dxa" w:w="2455"/>
            <w:vAlign w:val="center"/>
          </w:tcPr>
          <w:p>
            <w:r>
              <w:rPr>
                <w:sz w:val="16"/>
              </w:rPr>
              <w:t>7.19</w:t>
            </w:r>
          </w:p>
        </w:tc>
        <w:tc>
          <w:tcPr>
            <w:tcW w:type="dxa" w:w="2455"/>
            <w:vAlign w:val="center"/>
          </w:tcPr>
          <w:p>
            <w:r>
              <w:rPr>
                <w:sz w:val="16"/>
              </w:rPr>
              <w:t>9.94</w:t>
            </w:r>
          </w:p>
        </w:tc>
        <w:tc>
          <w:tcPr>
            <w:tcW w:type="dxa" w:w="2455"/>
            <w:vAlign w:val="center"/>
          </w:tcPr>
          <w:p>
            <w:r>
              <w:rPr>
                <w:sz w:val="16"/>
              </w:rPr>
              <w:t>~72.6% of FY25 sales; collection risk</w:t>
            </w:r>
          </w:p>
        </w:tc>
      </w:tr>
      <w:tr>
        <w:tc>
          <w:tcPr>
            <w:tcW w:type="dxa" w:w="2455"/>
            <w:vAlign w:val="center"/>
          </w:tcPr>
          <w:p>
            <w:r>
              <w:rPr>
                <w:sz w:val="16"/>
              </w:rPr>
              <w:t>Total debt</w:t>
            </w:r>
          </w:p>
        </w:tc>
        <w:tc>
          <w:tcPr>
            <w:tcW w:type="dxa" w:w="2455"/>
            <w:vAlign w:val="center"/>
          </w:tcPr>
          <w:p>
            <w:r>
              <w:rPr>
                <w:sz w:val="16"/>
              </w:rPr>
              <w:t>0.309</w:t>
            </w:r>
          </w:p>
        </w:tc>
        <w:tc>
          <w:tcPr>
            <w:tcW w:type="dxa" w:w="2455"/>
            <w:vAlign w:val="center"/>
          </w:tcPr>
          <w:p>
            <w:r>
              <w:rPr>
                <w:sz w:val="16"/>
              </w:rPr>
              <w:t>0.015</w:t>
            </w:r>
          </w:p>
        </w:tc>
        <w:tc>
          <w:tcPr>
            <w:tcW w:type="dxa" w:w="2455"/>
            <w:vAlign w:val="center"/>
          </w:tcPr>
          <w:p>
            <w:r>
              <w:rPr>
                <w:sz w:val="16"/>
              </w:rPr>
              <w:t>Very low screen-reported borrowings</w:t>
            </w:r>
          </w:p>
        </w:tc>
      </w:tr>
      <w:tr>
        <w:tc>
          <w:tcPr>
            <w:tcW w:type="dxa" w:w="2455"/>
            <w:vAlign w:val="center"/>
          </w:tcPr>
          <w:p>
            <w:r>
              <w:rPr>
                <w:sz w:val="16"/>
              </w:rPr>
              <w:t>Equity</w:t>
            </w:r>
          </w:p>
        </w:tc>
        <w:tc>
          <w:tcPr>
            <w:tcW w:type="dxa" w:w="2455"/>
            <w:vAlign w:val="center"/>
          </w:tcPr>
          <w:p>
            <w:r>
              <w:rPr>
                <w:sz w:val="16"/>
              </w:rPr>
              <w:t>9.73</w:t>
            </w:r>
          </w:p>
        </w:tc>
        <w:tc>
          <w:tcPr>
            <w:tcW w:type="dxa" w:w="2455"/>
            <w:vAlign w:val="center"/>
          </w:tcPr>
          <w:p>
            <w:r>
              <w:rPr>
                <w:sz w:val="16"/>
              </w:rPr>
              <w:t>13.1</w:t>
            </w:r>
          </w:p>
        </w:tc>
        <w:tc>
          <w:tcPr>
            <w:tcW w:type="dxa" w:w="2455"/>
            <w:vAlign w:val="center"/>
          </w:tcPr>
          <w:p>
            <w:r>
              <w:rPr>
                <w:sz w:val="16"/>
              </w:rPr>
              <w:t>Pre-Series-A historic statement</w:t>
            </w:r>
          </w:p>
        </w:tc>
      </w:tr>
    </w:tbl>
    <w:p>
      <w:r>
        <w:t>Critical findings: FY25 total revenue rose roughly 10.7%, but sales declined; the ₹2.7 crore difference between total revenue and sales requires a schedule of “other income”. FY25 profit remains positive but EBITDA fell ~23% year-on-year, despite higher total revenue. Receivables ₹9.94 crore versus ₹13.7 crore annual sales indicate substantial collections concentration/DSO risk; screen shows days sales outstanding ~221 days (definition must be checked). The video displays inventory as nil, which may be compatible with services/IP revenue but does not prove no manufactured products; reconcile classification and contract assets. [F1]</w:t>
      </w:r>
    </w:p>
    <w:p>
      <w:r>
        <w:t>Do NOT infer runway from FY25 accounting profits or assume the $10m Series A remains in cash. Obtain FY26-to-date bank balances, monthly operating and investing cash flows, unbilled revenue, debtor ageing, tax/grant receivables, customer advances and post-raise commitments. Historical FY25 net profit is not annual cash generation or chip gross margin.</w:t>
      </w:r>
    </w:p>
    <w:p>
      <w:r>
        <w:t>Cost-to-next-milestone [A, budget template]: engineering/team ₹6–9cr; wafer/tape-out/packaging/test ₹4–9cr; qualification and applications engineering ₹2–5cr; sales and contingency ₹3–5cr: indicative 12–18 month incremental budget ₹15–28cr, excluding new fab capex, large inventory build and existing salaries that may already be counted. Validate against actual budget; this is not a company forecast.</w:t>
      </w:r>
    </w:p>
    <w:p>
      <w:pPr>
        <w:pStyle w:val="Heading1"/>
      </w:pPr>
      <w:r>
        <w:t>8. Valuation and returns</w:t>
      </w:r>
    </w:p>
    <w:p>
      <w:r>
        <w:t>February 2026 Series A size is verified at $10m; entry valuation, equity ownership, liquidation preferences, ESOP dilution and a current funding ask are NOT VERIFIED. One user deck quotes an approximately $40m Dealroom estimate; it is an unverified third-party estimate, not the company’s priced round valuation. Historical FY25 sales ₹13.7cr imply no reliable current EV/revenue multiple without cash, share count and actual deal terms. [P1][U3]</w:t>
      </w:r>
    </w:p>
    <w:p>
      <w:r>
        <w:t>Illustrative, entirely hypothetical equity return model [A]: invest ₹5cr at ₹250cr POST-money for 2.0% initial ownership; assume 25% cumulative dilution before exit, leaving 1.5%. Ignore preferred rights, transaction costs and dividends.</w:t>
      </w:r>
    </w:p>
    <w:tbl>
      <w:tblPr>
        <w:tblStyle w:val="LightShading-Accent1"/>
        <w:tblW w:type="auto" w:w="0"/>
        <w:jc w:val="center"/>
        <w:tblLook w:firstColumn="1" w:firstRow="1" w:lastColumn="0" w:lastRow="0" w:noHBand="0" w:noVBand="1" w:val="04A0"/>
      </w:tblPr>
      <w:tblGrid>
        <w:gridCol w:w="1964"/>
        <w:gridCol w:w="1964"/>
        <w:gridCol w:w="1964"/>
        <w:gridCol w:w="1964"/>
        <w:gridCol w:w="1964"/>
      </w:tblGrid>
      <w:tr>
        <w:tc>
          <w:tcPr>
            <w:tcW w:type="dxa" w:w="1964"/>
            <w:vAlign w:val="center"/>
          </w:tcPr>
          <w:p>
            <w:r>
              <w:rPr>
                <w:sz w:val="16"/>
              </w:rPr>
              <w:t>Scenario [A]</w:t>
            </w:r>
          </w:p>
        </w:tc>
        <w:tc>
          <w:tcPr>
            <w:tcW w:type="dxa" w:w="1964"/>
            <w:vAlign w:val="center"/>
          </w:tcPr>
          <w:p>
            <w:r>
              <w:rPr>
                <w:sz w:val="16"/>
              </w:rPr>
              <w:t>Equity exit value</w:t>
            </w:r>
          </w:p>
        </w:tc>
        <w:tc>
          <w:tcPr>
            <w:tcW w:type="dxa" w:w="1964"/>
            <w:vAlign w:val="center"/>
          </w:tcPr>
          <w:p>
            <w:r>
              <w:rPr>
                <w:sz w:val="16"/>
              </w:rPr>
              <w:t>Value of 1.5%</w:t>
            </w:r>
          </w:p>
        </w:tc>
        <w:tc>
          <w:tcPr>
            <w:tcW w:type="dxa" w:w="1964"/>
            <w:vAlign w:val="center"/>
          </w:tcPr>
          <w:p>
            <w:r>
              <w:rPr>
                <w:sz w:val="16"/>
              </w:rPr>
              <w:t>Gross MOIC</w:t>
            </w:r>
          </w:p>
        </w:tc>
        <w:tc>
          <w:tcPr>
            <w:tcW w:type="dxa" w:w="1964"/>
            <w:vAlign w:val="center"/>
          </w:tcPr>
          <w:p>
            <w:r>
              <w:rPr>
                <w:sz w:val="16"/>
              </w:rPr>
              <w:t>Rationale</w:t>
            </w:r>
          </w:p>
        </w:tc>
      </w:tr>
      <w:tr>
        <w:tc>
          <w:tcPr>
            <w:tcW w:type="dxa" w:w="1964"/>
            <w:vAlign w:val="center"/>
          </w:tcPr>
          <w:p>
            <w:r>
              <w:rPr>
                <w:sz w:val="16"/>
              </w:rPr>
              <w:t>Downside</w:t>
            </w:r>
          </w:p>
        </w:tc>
        <w:tc>
          <w:tcPr>
            <w:tcW w:type="dxa" w:w="1964"/>
            <w:vAlign w:val="center"/>
          </w:tcPr>
          <w:p>
            <w:r>
              <w:rPr>
                <w:sz w:val="16"/>
              </w:rPr>
              <w:t>₹150cr</w:t>
            </w:r>
          </w:p>
        </w:tc>
        <w:tc>
          <w:tcPr>
            <w:tcW w:type="dxa" w:w="1964"/>
            <w:vAlign w:val="center"/>
          </w:tcPr>
          <w:p>
            <w:r>
              <w:rPr>
                <w:sz w:val="16"/>
              </w:rPr>
              <w:t>₹2.25cr</w:t>
            </w:r>
          </w:p>
        </w:tc>
        <w:tc>
          <w:tcPr>
            <w:tcW w:type="dxa" w:w="1964"/>
            <w:vAlign w:val="center"/>
          </w:tcPr>
          <w:p>
            <w:r>
              <w:rPr>
                <w:sz w:val="16"/>
              </w:rPr>
              <w:t>0.45×</w:t>
            </w:r>
          </w:p>
        </w:tc>
        <w:tc>
          <w:tcPr>
            <w:tcW w:type="dxa" w:w="1964"/>
            <w:vAlign w:val="center"/>
          </w:tcPr>
          <w:p>
            <w:r>
              <w:rPr>
                <w:sz w:val="16"/>
              </w:rPr>
              <w:t>IP/services niche fails to scale</w:t>
            </w:r>
          </w:p>
        </w:tc>
      </w:tr>
      <w:tr>
        <w:tc>
          <w:tcPr>
            <w:tcW w:type="dxa" w:w="1964"/>
            <w:vAlign w:val="center"/>
          </w:tcPr>
          <w:p>
            <w:r>
              <w:rPr>
                <w:sz w:val="16"/>
              </w:rPr>
              <w:t>Base</w:t>
            </w:r>
          </w:p>
        </w:tc>
        <w:tc>
          <w:tcPr>
            <w:tcW w:type="dxa" w:w="1964"/>
            <w:vAlign w:val="center"/>
          </w:tcPr>
          <w:p>
            <w:r>
              <w:rPr>
                <w:sz w:val="16"/>
              </w:rPr>
              <w:t>₹750cr</w:t>
            </w:r>
          </w:p>
        </w:tc>
        <w:tc>
          <w:tcPr>
            <w:tcW w:type="dxa" w:w="1964"/>
            <w:vAlign w:val="center"/>
          </w:tcPr>
          <w:p>
            <w:r>
              <w:rPr>
                <w:sz w:val="16"/>
              </w:rPr>
              <w:t>₹11.25cr</w:t>
            </w:r>
          </w:p>
        </w:tc>
        <w:tc>
          <w:tcPr>
            <w:tcW w:type="dxa" w:w="1964"/>
            <w:vAlign w:val="center"/>
          </w:tcPr>
          <w:p>
            <w:r>
              <w:rPr>
                <w:sz w:val="16"/>
              </w:rPr>
              <w:t>2.25×</w:t>
            </w:r>
          </w:p>
        </w:tc>
        <w:tc>
          <w:tcPr>
            <w:tcW w:type="dxa" w:w="1964"/>
            <w:vAlign w:val="center"/>
          </w:tcPr>
          <w:p>
            <w:r>
              <w:rPr>
                <w:sz w:val="16"/>
              </w:rPr>
              <w:t>Sustainable multi-SKU commercial sales</w:t>
            </w:r>
          </w:p>
        </w:tc>
      </w:tr>
      <w:tr>
        <w:tc>
          <w:tcPr>
            <w:tcW w:type="dxa" w:w="1964"/>
            <w:vAlign w:val="center"/>
          </w:tcPr>
          <w:p>
            <w:r>
              <w:rPr>
                <w:sz w:val="16"/>
              </w:rPr>
              <w:t>Upside</w:t>
            </w:r>
          </w:p>
        </w:tc>
        <w:tc>
          <w:tcPr>
            <w:tcW w:type="dxa" w:w="1964"/>
            <w:vAlign w:val="center"/>
          </w:tcPr>
          <w:p>
            <w:r>
              <w:rPr>
                <w:sz w:val="16"/>
              </w:rPr>
              <w:t>₹2,500cr</w:t>
            </w:r>
          </w:p>
        </w:tc>
        <w:tc>
          <w:tcPr>
            <w:tcW w:type="dxa" w:w="1964"/>
            <w:vAlign w:val="center"/>
          </w:tcPr>
          <w:p>
            <w:r>
              <w:rPr>
                <w:sz w:val="16"/>
              </w:rPr>
              <w:t>₹37.50cr</w:t>
            </w:r>
          </w:p>
        </w:tc>
        <w:tc>
          <w:tcPr>
            <w:tcW w:type="dxa" w:w="1964"/>
            <w:vAlign w:val="center"/>
          </w:tcPr>
          <w:p>
            <w:r>
              <w:rPr>
                <w:sz w:val="16"/>
              </w:rPr>
              <w:t>7.50×</w:t>
            </w:r>
          </w:p>
        </w:tc>
        <w:tc>
          <w:tcPr>
            <w:tcW w:type="dxa" w:w="1964"/>
            <w:vAlign w:val="center"/>
          </w:tcPr>
          <w:p>
            <w:r>
              <w:rPr>
                <w:sz w:val="16"/>
              </w:rPr>
              <w:t>Scaled precision analog platform or strategic buyout</w:t>
            </w:r>
          </w:p>
        </w:tc>
      </w:tr>
    </w:tbl>
    <w:p>
      <w:r>
        <w:t>A ₹250cr entry would need a ₹1,667cr exit at 1.5% ownership for a 5× MOIC on ₹5cr, assuming the illustrated dilution. Return arithmetic is a sensitivity exercise, not a valuation opinion or probability-weighted forecast. Exit paths: strategic acquisition by analog/industrial semiconductor company; domestic electronics/industrial platform acquisition; more distant IPO if revenue and margin reach scale. Precedent acquisitions must be matched on product IP, real revenue and terms, not headline interest in Indian semiconductors.</w:t>
      </w:r>
    </w:p>
    <w:p>
      <w:pPr>
        <w:pStyle w:val="Heading1"/>
      </w:pPr>
      <w:r>
        <w:t>9. Risks and mitigants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vAlign w:val="center"/>
          </w:tcPr>
          <w:p>
            <w:r>
              <w:rPr>
                <w:sz w:val="16"/>
              </w:rPr>
              <w:t>Risk</w:t>
            </w:r>
          </w:p>
        </w:tc>
        <w:tc>
          <w:tcPr>
            <w:tcW w:type="dxa" w:w="3273"/>
            <w:vAlign w:val="center"/>
          </w:tcPr>
          <w:p>
            <w:r>
              <w:rPr>
                <w:sz w:val="16"/>
              </w:rPr>
              <w:t>Investment consequence</w:t>
            </w:r>
          </w:p>
        </w:tc>
        <w:tc>
          <w:tcPr>
            <w:tcW w:type="dxa" w:w="3273"/>
            <w:vAlign w:val="center"/>
          </w:tcPr>
          <w:p>
            <w:r>
              <w:rPr>
                <w:sz w:val="16"/>
              </w:rPr>
              <w:t>Mitigant / evidence test</w:t>
            </w:r>
          </w:p>
        </w:tc>
      </w:tr>
      <w:tr>
        <w:tc>
          <w:tcPr>
            <w:tcW w:type="dxa" w:w="3273"/>
            <w:vAlign w:val="center"/>
          </w:tcPr>
          <w:p>
            <w:r>
              <w:rPr>
                <w:sz w:val="16"/>
              </w:rPr>
              <w:t>Technology / IP differentiation</w:t>
            </w:r>
          </w:p>
        </w:tc>
        <w:tc>
          <w:tcPr>
            <w:tcW w:type="dxa" w:w="3273"/>
            <w:vAlign w:val="center"/>
          </w:tcPr>
          <w:p>
            <w:r>
              <w:rPr>
                <w:sz w:val="16"/>
              </w:rPr>
              <w:t>Adaptive correction not economically superior to ordinary ADC + software</w:t>
            </w:r>
          </w:p>
        </w:tc>
        <w:tc>
          <w:tcPr>
            <w:tcW w:type="dxa" w:w="3273"/>
            <w:vAlign w:val="center"/>
          </w:tcPr>
          <w:p>
            <w:r>
              <w:rPr>
                <w:sz w:val="16"/>
              </w:rPr>
              <w:t>Independent side-by-side test at application-level cost and performance</w:t>
            </w:r>
          </w:p>
        </w:tc>
      </w:tr>
      <w:tr>
        <w:tc>
          <w:tcPr>
            <w:tcW w:type="dxa" w:w="3273"/>
            <w:vAlign w:val="center"/>
          </w:tcPr>
          <w:p>
            <w:r>
              <w:rPr>
                <w:sz w:val="16"/>
              </w:rPr>
              <w:t>Customer concentration / conversion</w:t>
            </w:r>
          </w:p>
        </w:tc>
        <w:tc>
          <w:tcPr>
            <w:tcW w:type="dxa" w:w="3273"/>
            <w:vAlign w:val="center"/>
          </w:tcPr>
          <w:p>
            <w:r>
              <w:rPr>
                <w:sz w:val="16"/>
              </w:rPr>
              <w:t>Evaluation fails to turn into paid recurring shipments</w:t>
            </w:r>
          </w:p>
        </w:tc>
        <w:tc>
          <w:tcPr>
            <w:tcW w:type="dxa" w:w="3273"/>
            <w:vAlign w:val="center"/>
          </w:tcPr>
          <w:p>
            <w:r>
              <w:rPr>
                <w:sz w:val="16"/>
              </w:rPr>
              <w:t>Top-10 customers, signed POs, design-in stage, OEM calls and forecast reconciliation</w:t>
            </w:r>
          </w:p>
        </w:tc>
      </w:tr>
      <w:tr>
        <w:tc>
          <w:tcPr>
            <w:tcW w:type="dxa" w:w="3273"/>
            <w:vAlign w:val="center"/>
          </w:tcPr>
          <w:p>
            <w:r>
              <w:rPr>
                <w:sz w:val="16"/>
              </w:rPr>
              <w:t>Manufacturing supply and yield</w:t>
            </w:r>
          </w:p>
        </w:tc>
        <w:tc>
          <w:tcPr>
            <w:tcW w:type="dxa" w:w="3273"/>
            <w:vAlign w:val="center"/>
          </w:tcPr>
          <w:p>
            <w:r>
              <w:rPr>
                <w:sz w:val="16"/>
              </w:rPr>
              <w:t>Foundry/OSAT cost, reliability or yield prevents product gross margin</w:t>
            </w:r>
          </w:p>
        </w:tc>
        <w:tc>
          <w:tcPr>
            <w:tcW w:type="dxa" w:w="3273"/>
            <w:vAlign w:val="center"/>
          </w:tcPr>
          <w:p>
            <w:r>
              <w:rPr>
                <w:sz w:val="16"/>
              </w:rPr>
              <w:t>Wafer allocation contracts, process corners, ATE/test plan, yields, backup packaging</w:t>
            </w:r>
          </w:p>
        </w:tc>
      </w:tr>
      <w:tr>
        <w:tc>
          <w:tcPr>
            <w:tcW w:type="dxa" w:w="3273"/>
            <w:vAlign w:val="center"/>
          </w:tcPr>
          <w:p>
            <w:r>
              <w:rPr>
                <w:sz w:val="16"/>
              </w:rPr>
              <w:t>Working capital / collections</w:t>
            </w:r>
          </w:p>
        </w:tc>
        <w:tc>
          <w:tcPr>
            <w:tcW w:type="dxa" w:w="3273"/>
            <w:vAlign w:val="center"/>
          </w:tcPr>
          <w:p>
            <w:r>
              <w:rPr>
                <w:sz w:val="16"/>
              </w:rPr>
              <w:t>Receivables absorb cash despite accounting profitability</w:t>
            </w:r>
          </w:p>
        </w:tc>
        <w:tc>
          <w:tcPr>
            <w:tcW w:type="dxa" w:w="3273"/>
            <w:vAlign w:val="center"/>
          </w:tcPr>
          <w:p>
            <w:r>
              <w:rPr>
                <w:sz w:val="16"/>
              </w:rPr>
              <w:t>Debtor ageing, collections post-year-end, related-party sales, contracts and unbilled WIP</w:t>
            </w:r>
          </w:p>
        </w:tc>
      </w:tr>
      <w:tr>
        <w:tc>
          <w:tcPr>
            <w:tcW w:type="dxa" w:w="3273"/>
            <w:vAlign w:val="center"/>
          </w:tcPr>
          <w:p>
            <w:r>
              <w:rPr>
                <w:sz w:val="16"/>
              </w:rPr>
              <w:t>Capital / portfolio dilution</w:t>
            </w:r>
          </w:p>
        </w:tc>
        <w:tc>
          <w:tcPr>
            <w:tcW w:type="dxa" w:w="3273"/>
            <w:vAlign w:val="center"/>
          </w:tcPr>
          <w:p>
            <w:r>
              <w:rPr>
                <w:sz w:val="16"/>
              </w:rPr>
              <w:t>Many SKUs fragment R&amp;D spend; follow-on financing dilutes holders</w:t>
            </w:r>
          </w:p>
        </w:tc>
        <w:tc>
          <w:tcPr>
            <w:tcW w:type="dxa" w:w="3273"/>
            <w:vAlign w:val="center"/>
          </w:tcPr>
          <w:p>
            <w:r>
              <w:rPr>
                <w:sz w:val="16"/>
              </w:rPr>
              <w:t>Choose two anchor SKUs, milestone budget and sensitivity to slower ramps</w:t>
            </w:r>
          </w:p>
        </w:tc>
      </w:tr>
      <w:tr>
        <w:tc>
          <w:tcPr>
            <w:tcW w:type="dxa" w:w="3273"/>
            <w:vAlign w:val="center"/>
          </w:tcPr>
          <w:p>
            <w:r>
              <w:rPr>
                <w:sz w:val="16"/>
              </w:rPr>
              <w:t>Talent and founder bandwidth</w:t>
            </w:r>
          </w:p>
        </w:tc>
        <w:tc>
          <w:tcPr>
            <w:tcW w:type="dxa" w:w="3273"/>
            <w:vAlign w:val="center"/>
          </w:tcPr>
          <w:p>
            <w:r>
              <w:rPr>
                <w:sz w:val="16"/>
              </w:rPr>
              <w:t>Sales engineering, qualification and product support bottlenecks</w:t>
            </w:r>
          </w:p>
        </w:tc>
        <w:tc>
          <w:tcPr>
            <w:tcW w:type="dxa" w:w="3273"/>
            <w:vAlign w:val="center"/>
          </w:tcPr>
          <w:p>
            <w:r>
              <w:rPr>
                <w:sz w:val="16"/>
              </w:rPr>
              <w:t>Dedicated GM/product managers and experienced operations/FAE hires</w:t>
            </w:r>
          </w:p>
        </w:tc>
      </w:tr>
      <w:tr>
        <w:tc>
          <w:tcPr>
            <w:tcW w:type="dxa" w:w="3273"/>
            <w:vAlign w:val="center"/>
          </w:tcPr>
          <w:p>
            <w:r>
              <w:rPr>
                <w:sz w:val="16"/>
              </w:rPr>
              <w:t>Government / policy</w:t>
            </w:r>
          </w:p>
        </w:tc>
        <w:tc>
          <w:tcPr>
            <w:tcW w:type="dxa" w:w="3273"/>
            <w:vAlign w:val="center"/>
          </w:tcPr>
          <w:p>
            <w:r>
              <w:rPr>
                <w:sz w:val="16"/>
              </w:rPr>
              <w:t>DLI approval treated as cash received; procurement shifts</w:t>
            </w:r>
          </w:p>
        </w:tc>
        <w:tc>
          <w:tcPr>
            <w:tcW w:type="dxa" w:w="3273"/>
            <w:vAlign w:val="center"/>
          </w:tcPr>
          <w:p>
            <w:r>
              <w:rPr>
                <w:sz w:val="16"/>
              </w:rPr>
              <w:t>Sanction/disbursement proof; invest economics absent policy support</w:t>
            </w:r>
          </w:p>
        </w:tc>
      </w:tr>
      <w:tr>
        <w:tc>
          <w:tcPr>
            <w:tcW w:type="dxa" w:w="3273"/>
            <w:vAlign w:val="center"/>
          </w:tcPr>
          <w:p>
            <w:r>
              <w:rPr>
                <w:sz w:val="16"/>
              </w:rPr>
              <w:t>Competition / substitutes</w:t>
            </w:r>
          </w:p>
        </w:tc>
        <w:tc>
          <w:tcPr>
            <w:tcW w:type="dxa" w:w="3273"/>
            <w:vAlign w:val="center"/>
          </w:tcPr>
          <w:p>
            <w:r>
              <w:rPr>
                <w:sz w:val="16"/>
              </w:rPr>
              <w:t>TI/ADI/ST incumbents or integrated MCU eliminate a socket</w:t>
            </w:r>
          </w:p>
        </w:tc>
        <w:tc>
          <w:tcPr>
            <w:tcW w:type="dxa" w:w="3273"/>
            <w:vAlign w:val="center"/>
          </w:tcPr>
          <w:p>
            <w:r>
              <w:rPr>
                <w:sz w:val="16"/>
              </w:rPr>
              <w:t>Named competitive part numbers and switching-cost quantified</w:t>
            </w:r>
          </w:p>
        </w:tc>
      </w:tr>
    </w:tbl>
    <w:p>
      <w:pPr>
        <w:pStyle w:val="Heading1"/>
      </w:pPr>
      <w:r>
        <w:t>10. Recommendation</w:t>
      </w:r>
    </w:p>
    <w:p>
      <w:r>
        <w:t>Decision: WAIT / CONTINUE DILIGENCE, not a priced INVEST and not PASS. The thesis has meaningful strengths: veteran founders, verified public DLI/C2S support, products on UMC/TSMC nodes, substantial reported IP and profitable historical operations. The missing link is an investable bridge from historical services/IP economics to scalable, profitable chip shipments at an acceptable entry valuation. [P1][F1]</w:t>
      </w:r>
    </w:p>
    <w:p>
      <w:r>
        <w:t>Conditions precedent for an initial cheque: (1) audited FY24–FY26 financials and FY26 monthly cash bridge, splitting sales/IP/NRE/grants/other income; (2) three customer calls including named space client, two signed commercial design wins or equivalent binding evidence, with forecasts and ASPs; (3) independent performance benchmarking of two anchor SKUs versus named TI/ADI/ST components; (4) fab/OSAT qualification, product yield, landed COGS and margins; (5) IP/patent ownership and freedom-to-operate opinion; (6) full cap table, proposed valuation, liquidation preference, option pool and next 24-month forecast; (7) DLI approved vs actually disbursed schedules.</w:t>
      </w:r>
    </w:p>
    <w:p>
      <w:r>
        <w:t>Follow-on cheque gate: only after at least two product families show repeated paid shipments over successive quarters; gross margins cover application engineering and support; customer concentration and receivables normalize; and remaining cash covers the next defined milestone without relying on uncertain subsidy timing. Define exact unit and gross-margin hurdles using management data, not arbitrary public comparables.</w:t>
      </w:r>
    </w:p>
    <w:p>
      <w:pPr>
        <w:pStyle w:val="Heading1"/>
      </w:pPr>
      <w:r>
        <w:t>Research record and evidence notes</w:t>
      </w:r>
    </w:p>
    <w:p>
      <w:pPr>
        <w:pStyle w:val="ListBullet"/>
      </w:pPr>
      <w:r>
        <w:t>[P1] PIB / MeitY, 18 Feb 2026, PRID 2229659 — funding, 140+ IP, 25 IC products, patents, five-product foundry/status matrix and application roadmap: https://www.pib.gov.in/PressReleasePage.aspx?PRID=2229659</w:t>
      </w:r>
    </w:p>
    <w:p>
      <w:pPr>
        <w:pStyle w:val="ListBullet"/>
      </w:pPr>
      <w:r>
        <w:t>[P2] PIB / MeitY, 22 Aug 2025, PRID 2159727 — IP-export/product claims, self-correction claims and roadmap: https://www.pib.gov.in/PressReleasePage.aspx?PRID=2159727</w:t>
      </w:r>
    </w:p>
    <w:p>
      <w:pPr>
        <w:pStyle w:val="ListBullet"/>
      </w:pPr>
      <w:r>
        <w:t>[P3] PIB / MeitY, 20 Mar 2025, PRID 2113411 — C2S BLDC work and target $1.50 complete control solution: https://www.pib.gov.in/PressReleasePage.aspx?PRID=2113411</w:t>
      </w:r>
    </w:p>
    <w:p>
      <w:pPr>
        <w:pStyle w:val="ListBullet"/>
      </w:pPr>
      <w:r>
        <w:t>[P4] Inc42 Vervesemi profile (accessed Oct 2026) — FY25 total revenue, expense, PAT and equity financing: https://inc42.com/company/vervesemi/financials/</w:t>
      </w:r>
    </w:p>
    <w:p>
      <w:pPr>
        <w:pStyle w:val="ListBullet"/>
      </w:pPr>
      <w:r>
        <w:t>[U1] User deck, “42 Chatgpt Indian_Semiconductor_VC_FiveGate_ReScreen_07Oct2026.pptx”, slides 10–11 (90/100 analyst score; conditional demand gate; government outlay cited ₹13.53cr).</w:t>
      </w:r>
    </w:p>
    <w:p>
      <w:pPr>
        <w:pStyle w:val="ListBullet"/>
      </w:pPr>
      <w:r>
        <w:t>[U2] User deck, “4 Chatgpt Indian_Semiconductor_VC_Candidates_30Sep2026.pptx”, slides 4–5 (product, founder and commercial maps).</w:t>
      </w:r>
    </w:p>
    <w:p>
      <w:pPr>
        <w:pStyle w:val="ListBullet"/>
      </w:pPr>
      <w:r>
        <w:t>[U3] User deck, “4 Claude India_Semiconductor_VC_Startup_Candidates_30Sep2026.pptx”, analog market forecast and secondary financial/valuation estimates; unverified valuation figure.</w:t>
      </w:r>
    </w:p>
    <w:p>
      <w:pPr>
        <w:pStyle w:val="ListBullet"/>
      </w:pPr>
      <w:r>
        <w:t>[F1] User-supplied “Vervesemi financials.mp4”, screen recording of Inc42-labelled historical financials; values transcribed from first ~15 seconds, FY24/FY25 columns. This is not the same as examining original MCA filed audited statements.</w:t>
      </w:r>
    </w:p>
    <w:p>
      <w:pPr>
        <w:pStyle w:val="ListBullet"/>
      </w:pPr>
      <w:r>
        <w:t>[A] Analyst-created placeholders and sensitivity scenarios are deliberately labelled and are not company guidance.</w:t>
      </w:r>
    </w:p>
    <w:sectPr w:rsidR="00FC693F" w:rsidRPr="0006063C" w:rsidSect="00034616">
      <w:footerReference w:type="default" r:id="rId9"/>
      <w:pgSz w:w="12240" w:h="15840"/>
      <w:pgMar w:top="1008" w:right="1210" w:bottom="922"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CONFIDENTIAL WORKING DRAFT  |  VERVESEMI  |  09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Display" w:hAnsi="Aptos Display"/>
      <w:b/>
      <w:bCs/>
      <w:color w:val="0E2C3E"/>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E2C3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80"/>
      <w:contextualSpacing/>
    </w:pPr>
    <w:rPr>
      <w:rFonts w:asciiTheme="majorHAnsi" w:eastAsiaTheme="majorEastAsia" w:hAnsiTheme="majorHAnsi" w:cstheme="majorBidi" w:ascii="Aptos Display" w:hAnsi="Aptos Display"/>
      <w:b/>
      <w:color w:val="0E2C3E"/>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