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Average Loss Metrics by Insurance Profile</w:t>
      </w:r>
    </w:p>
    <w:p>
      <w:pPr>
        <w:pStyle w:val="Heading2"/>
      </w:pPr>
      <w:r>
        <w:t>Reserve Profile Analytics</w:t>
      </w:r>
    </w:p>
    <w:p>
      <w:r>
        <w:t>This section compares different Reserve Profiles, such as Personal and Commercial lines, by their average incurred and ultimate losses.</w:t>
      </w:r>
    </w:p>
    <w:p>
      <w:r>
        <w:t>Actuarial metrics such as AvE (Actual vs Expected) are often used to validate the adequacy of reserves. While AvE is not explicitly calculated here, trends in IBNR can indicate over- or under-reserving.</w:t>
      </w:r>
    </w:p>
    <w:p>
      <w:r>
        <w:t>The profile with the highest average IBNR is Commercial with an average of 28,594.16.</w:t>
      </w:r>
    </w:p>
    <w:p>
      <w:pPr>
        <w:pStyle w:val="Heading2"/>
      </w:pPr>
      <w:r>
        <w:t>Average Losses and IBNR by Reserve Profile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Reserve_Profile</w:t>
            </w:r>
          </w:p>
        </w:tc>
        <w:tc>
          <w:tcPr>
            <w:tcW w:type="dxa" w:w="2160"/>
          </w:tcPr>
          <w:p>
            <w:r>
              <w:t>AvgIncurredLoss</w:t>
            </w:r>
          </w:p>
        </w:tc>
        <w:tc>
          <w:tcPr>
            <w:tcW w:type="dxa" w:w="2160"/>
          </w:tcPr>
          <w:p>
            <w:r>
              <w:t>AvgUltimateLoss</w:t>
            </w:r>
          </w:p>
        </w:tc>
        <w:tc>
          <w:tcPr>
            <w:tcW w:type="dxa" w:w="2160"/>
          </w:tcPr>
          <w:p>
            <w:r>
              <w:t>AvgIBNR</w:t>
            </w:r>
          </w:p>
        </w:tc>
      </w:tr>
      <w:tr>
        <w:tc>
          <w:tcPr>
            <w:tcW w:type="dxa" w:w="2160"/>
          </w:tcPr>
          <w:p>
            <w:r>
              <w:t>Auto Liability</w:t>
            </w:r>
          </w:p>
        </w:tc>
        <w:tc>
          <w:tcPr>
            <w:tcW w:type="dxa" w:w="2160"/>
          </w:tcPr>
          <w:p>
            <w:r>
              <w:t>50296.93</w:t>
            </w:r>
          </w:p>
        </w:tc>
        <w:tc>
          <w:tcPr>
            <w:tcW w:type="dxa" w:w="2160"/>
          </w:tcPr>
          <w:p>
            <w:r>
              <w:t>72771.73</w:t>
            </w:r>
          </w:p>
        </w:tc>
        <w:tc>
          <w:tcPr>
            <w:tcW w:type="dxa" w:w="2160"/>
          </w:tcPr>
          <w:p>
            <w:r>
              <w:t>22474.8</w:t>
            </w:r>
          </w:p>
        </w:tc>
      </w:tr>
      <w:tr>
        <w:tc>
          <w:tcPr>
            <w:tcW w:type="dxa" w:w="2160"/>
          </w:tcPr>
          <w:p>
            <w:r>
              <w:t>Commercial</w:t>
            </w:r>
          </w:p>
        </w:tc>
        <w:tc>
          <w:tcPr>
            <w:tcW w:type="dxa" w:w="2160"/>
          </w:tcPr>
          <w:p>
            <w:r>
              <w:t>49754.82</w:t>
            </w:r>
          </w:p>
        </w:tc>
        <w:tc>
          <w:tcPr>
            <w:tcW w:type="dxa" w:w="2160"/>
          </w:tcPr>
          <w:p>
            <w:r>
              <w:t>78348.98</w:t>
            </w:r>
          </w:p>
        </w:tc>
        <w:tc>
          <w:tcPr>
            <w:tcW w:type="dxa" w:w="2160"/>
          </w:tcPr>
          <w:p>
            <w:r>
              <w:t>28594.16</w:t>
            </w:r>
          </w:p>
        </w:tc>
      </w:tr>
      <w:tr>
        <w:tc>
          <w:tcPr>
            <w:tcW w:type="dxa" w:w="2160"/>
          </w:tcPr>
          <w:p>
            <w:r>
              <w:t>Homeowners</w:t>
            </w:r>
          </w:p>
        </w:tc>
        <w:tc>
          <w:tcPr>
            <w:tcW w:type="dxa" w:w="2160"/>
          </w:tcPr>
          <w:p>
            <w:r>
              <w:t>49178.7</w:t>
            </w:r>
          </w:p>
        </w:tc>
        <w:tc>
          <w:tcPr>
            <w:tcW w:type="dxa" w:w="2160"/>
          </w:tcPr>
          <w:p>
            <w:r>
              <w:t>76323.36</w:t>
            </w:r>
          </w:p>
        </w:tc>
        <w:tc>
          <w:tcPr>
            <w:tcW w:type="dxa" w:w="2160"/>
          </w:tcPr>
          <w:p>
            <w:r>
              <w:t>27144.66</w:t>
            </w:r>
          </w:p>
        </w:tc>
      </w:tr>
      <w:tr>
        <w:tc>
          <w:tcPr>
            <w:tcW w:type="dxa" w:w="2160"/>
          </w:tcPr>
          <w:p>
            <w:r>
              <w:t>Workers Comp</w:t>
            </w:r>
          </w:p>
        </w:tc>
        <w:tc>
          <w:tcPr>
            <w:tcW w:type="dxa" w:w="2160"/>
          </w:tcPr>
          <w:p>
            <w:r>
              <w:t>49489.94</w:t>
            </w:r>
          </w:p>
        </w:tc>
        <w:tc>
          <w:tcPr>
            <w:tcW w:type="dxa" w:w="2160"/>
          </w:tcPr>
          <w:p>
            <w:r>
              <w:t>75220.63</w:t>
            </w:r>
          </w:p>
        </w:tc>
        <w:tc>
          <w:tcPr>
            <w:tcW w:type="dxa" w:w="2160"/>
          </w:tcPr>
          <w:p>
            <w:r>
              <w:t>25730.69</w:t>
            </w:r>
          </w:p>
        </w:tc>
      </w:tr>
    </w:tbl>
    <w:p>
      <w:r>
        <w:t>Actuarial models updated through tools like Vanna may revise these averages based on new claim development data or revised assumptions.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