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Loss Summary by Exposure Year</w:t>
      </w:r>
    </w:p>
    <w:p/>
    <w:p>
      <w:r>
        <w:t xml:space="preserve">   These values are derived from the most recent actuarial reporting cycle. If updated projections are generated via a Vanna AI query, both the numerical values above and the table contents may change accordingly.</w:t>
      </w:r>
    </w:p>
    <w:p/>
    <w:p>
      <w:r>
        <w:t>|   ExposureYear |   TotalIncurredLoss |   TotalUltimateLoss |   TotalIBNR |</w:t>
      </w:r>
    </w:p>
    <w:p>
      <w:r>
        <w:t>|---------------:|--------------------:|--------------------:|------------:|</w:t>
      </w:r>
    </w:p>
    <w:p>
      <w:r>
        <w:t>|           2010 |         1,594,290  |         2,426,960    | 832,661      |</w:t>
      </w:r>
    </w:p>
    <w:p>
      <w:r>
        <w:t>|           2011 |         1,556,390   |         2,445,090    | 888,698      |</w:t>
      </w:r>
    </w:p>
    <w:p>
      <w:r>
        <w:t>|           2012 |         1,583,890   |         2,439,890    | 855,997      |</w:t>
      </w:r>
    </w:p>
    <w:p>
      <w:r>
        <w:t>|           2013 |         1,659,720   |         2,440,750    | 781,027      |</w:t>
      </w:r>
    </w:p>
    <w:p>
      <w:r>
        <w:t>|           2014 |         1,571,130   |         2,330,720    | 759,583      |</w:t>
      </w:r>
    </w:p>
    <w:p>
      <w:r>
        <w:t>|           2015 |         1,801,910   |         2,686,530    | 884,625      |</w:t>
      </w:r>
    </w:p>
    <w:p>
      <w:r>
        <w:t>|           2016 |         1,754,000   |         2,645,570    | 891,569      |</w:t>
      </w:r>
    </w:p>
    <w:p>
      <w:r>
        <w:t>|           2017 |         1,679,370   |         2,454,560    | 775,191      |</w:t>
      </w:r>
    </w:p>
    <w:p>
      <w:r>
        <w:t>|           2018 |         1,599,270   |         2,430,820    | 831,557      |</w:t>
      </w:r>
    </w:p>
    <w:p>
      <w:r>
        <w:t>|           2019 |         1,694,260   |         2,732,460    | 1,038,200    |</w:t>
      </w:r>
    </w:p>
    <w:p>
      <w:r>
        <w:t>|           2020 |         1,575,990   |         2,631,640    | 1,055,660    |</w:t>
      </w:r>
    </w:p>
    <w:p>
      <w:r>
        <w:t>|           2021 |         1,640,320   |         2,372,770    | 732,455      |</w:t>
      </w:r>
    </w:p>
    <w:p>
      <w:r>
        <w:t>|           2022 |         1,844,330   |         2,801,650    | 957,317      |</w:t>
      </w:r>
    </w:p>
    <w:p>
      <w:r>
        <w:t>|           2023 |         1,531,570   |         2,356,780    | 825,208      |</w:t>
      </w:r>
    </w:p>
    <w:p>
      <w:r>
        <w:t>|           2024 |         1,756,460   |         2,611,950    | 855,487     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