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Annual Loss Summary Report</w:t>
      </w:r>
    </w:p>
    <w:p/>
    <w:p>
      <w:r>
        <w:t xml:space="preserve">   Glossary &amp; Key Metrics</w:t>
      </w:r>
    </w:p>
    <w:p/>
    <w:p>
      <w:r>
        <w:t xml:space="preserve">   Incurred Loss represents the total amount of claims reported and paid or reserved for at a given time. It includes both paid claims and case reserves.</w:t>
      </w:r>
    </w:p>
    <w:p/>
    <w:p>
      <w:r>
        <w:t xml:space="preserve">   Ultimate Loss is the estimated final cost of all claims arising from a portfolio or line of business, often projected using actuarial techniques such as chain ladder or Bornhuetter-Ferguson.</w:t>
      </w:r>
    </w:p>
    <w:p/>
    <w:p>
      <w:r>
        <w:t xml:space="preserve">   IBNR (Incurred But Not Reported) is the portion of the ultimate loss that has not yet been reported to the insurer. It is calculated as: IBNR = Ultimate Loss - Incurred Loss.</w:t>
      </w:r>
    </w:p>
    <w:p/>
    <w:p>
      <w:r>
        <w:t xml:space="preserve">   In the current dataset, the highest IBNR is 10,590,279.01 observed in year 2020. Across all years, total Incurred Loss is 248,429,053.61, and total Ultimate Loss is 378,081,381.55.</w:t>
      </w:r>
    </w:p>
    <w:p/>
    <w:p>
      <w:r>
        <w:t xml:space="preserve">   | ExposureYear   | TotalIncurredLoss   | TotalUltimateLoss   | TotalIBNR     |</w:t>
      </w:r>
    </w:p>
    <w:p>
      <w:r>
        <w:t>|:---------------|:--------------------|:--------------------|:--------------|</w:t>
      </w:r>
    </w:p>
    <w:p>
      <w:r>
        <w:t>| 2,010.00       | 15,909,546.77       | 24,269,555.16       | 8,360,008.39  |</w:t>
      </w:r>
    </w:p>
    <w:p>
      <w:r>
        <w:t>| 2,011.00       | 15,531,741.35       | 24,450,918.96       | 8,919,177.61  |</w:t>
      </w:r>
    </w:p>
    <w:p>
      <w:r>
        <w:t>| 2,012.00       | 15,807,038.25       | 24,398,908.22       | 8,591,869.97  |</w:t>
      </w:r>
    </w:p>
    <w:p>
      <w:r>
        <w:t>| 2,013.00       | 16,564,335.91       | 24,407,507.85       | 7,843,171.94  |</w:t>
      </w:r>
    </w:p>
    <w:p>
      <w:r>
        <w:t>| 2,014.00       | 15,681,140.08       | 23,307,172.32       | 7,626,032.24  |</w:t>
      </w:r>
    </w:p>
    <w:p>
      <w:r>
        <w:t>| 2,015.00       | 17,983,194.03       | 26,865,343.17       | 8,882,149.14  |</w:t>
      </w:r>
    </w:p>
    <w:p>
      <w:r>
        <w:t>| 2,016.00       | 17,505,083.44       | 26,455,672.64       | 8,950,589.20  |</w:t>
      </w:r>
    </w:p>
    <w:p>
      <w:r>
        <w:t>| 2,017.00       | 16,760,506.16       | 24,545,612.10       | 7,785,105.94  |</w:t>
      </w:r>
    </w:p>
    <w:p>
      <w:r>
        <w:t>| 2,018.00       | 15,960,569.46       | 24,308,236.26       | 8,347,666.80  |</w:t>
      </w:r>
    </w:p>
    <w:p>
      <w:r>
        <w:t>| 2,019.00       | 16,907,165.42       | 27,324,581.36       | 10,417,415.94 |</w:t>
      </w:r>
    </w:p>
    <w:p>
      <w:r>
        <w:t>| 2,020.00       | 15,726,152.88       | 26,316,431.89       | 10,590,279.01 |</w:t>
      </w:r>
    </w:p>
    <w:p>
      <w:r>
        <w:t>| 2,021.00       | 16,371,093.49       | 23,727,739.71       | 7,356,646.22  |</w:t>
      </w:r>
    </w:p>
    <w:p>
      <w:r>
        <w:t>| 2,022.00       | 18,406,108.66       | 28,016,477.51       | 9,610,368.85  |</w:t>
      </w:r>
    </w:p>
    <w:p>
      <w:r>
        <w:t>| 2,023.00       | 15,284,673.82       | 23,567,752.07       | 8,283,078.25  |</w:t>
      </w:r>
    </w:p>
    <w:p>
      <w:r>
        <w:t>| 2,024.00       | 17,530,703.89       | 26,119,472.33       | 8,588,768.44  |</w:t>
      </w:r>
    </w:p>
    <w:p/>
    <w:p>
      <w:r>
        <w:t xml:space="preserve">   (The rest of the document remains the same)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