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5BD31" w14:textId="6EF048F8" w:rsidR="00745168" w:rsidRDefault="00000000">
      <w:pPr>
        <w:pStyle w:val="Title"/>
      </w:pPr>
      <w:r>
        <w:t>Top 5 Commercial Claims by IBNR</w:t>
      </w:r>
    </w:p>
    <w:p w14:paraId="414BB53E" w14:textId="77777777" w:rsidR="0028387A" w:rsidRDefault="0028387A">
      <w:pPr>
        <w:pStyle w:val="Heading2"/>
      </w:pPr>
    </w:p>
    <w:p w14:paraId="3C9B48EF" w14:textId="77777777" w:rsidR="0028387A" w:rsidRPr="0028387A" w:rsidRDefault="0028387A" w:rsidP="0028387A">
      <w:pPr>
        <w:rPr>
          <w:b/>
          <w:bCs/>
          <w:lang w:val="en-IN"/>
        </w:rPr>
      </w:pPr>
      <w:r w:rsidRPr="0028387A">
        <w:rPr>
          <w:b/>
          <w:bCs/>
          <w:lang w:val="en-IN"/>
        </w:rPr>
        <w:t>Actuarial Present Value</w:t>
      </w:r>
    </w:p>
    <w:p w14:paraId="2C49C3FB" w14:textId="77777777" w:rsidR="0028387A" w:rsidRPr="0028387A" w:rsidRDefault="0028387A" w:rsidP="0028387A">
      <w:pPr>
        <w:rPr>
          <w:lang w:val="en-IN"/>
        </w:rPr>
      </w:pPr>
      <w:r w:rsidRPr="0028387A">
        <w:rPr>
          <w:lang w:val="en-IN"/>
        </w:rPr>
        <w:t>The dollar value on the valuation date of all benefits expected to be paid to current members based upon the Actuarial Assumptions and the terms of the Plan.</w:t>
      </w:r>
    </w:p>
    <w:p w14:paraId="24F02EC8" w14:textId="77777777" w:rsidR="0028387A" w:rsidRPr="0028387A" w:rsidRDefault="0028387A" w:rsidP="0028387A">
      <w:pPr>
        <w:rPr>
          <w:b/>
          <w:bCs/>
          <w:lang w:val="en-IN"/>
        </w:rPr>
      </w:pPr>
      <w:r w:rsidRPr="0028387A">
        <w:rPr>
          <w:b/>
          <w:bCs/>
          <w:lang w:val="en-IN"/>
        </w:rPr>
        <w:t>Amortization Payment</w:t>
      </w:r>
    </w:p>
    <w:p w14:paraId="2D3F63C8" w14:textId="77777777" w:rsidR="0028387A" w:rsidRPr="0028387A" w:rsidRDefault="0028387A" w:rsidP="0028387A">
      <w:pPr>
        <w:rPr>
          <w:lang w:val="en-IN"/>
        </w:rPr>
      </w:pPr>
      <w:r w:rsidRPr="0028387A">
        <w:rPr>
          <w:lang w:val="en-IN"/>
        </w:rPr>
        <w:t>That portion of the pension plan appropriation which represents payments made to pay interest on and the reduction of the Unfunded Accrued Liability.</w:t>
      </w:r>
    </w:p>
    <w:p w14:paraId="73E3C12D" w14:textId="77777777" w:rsidR="0028387A" w:rsidRPr="0028387A" w:rsidRDefault="0028387A" w:rsidP="0028387A">
      <w:pPr>
        <w:rPr>
          <w:b/>
          <w:bCs/>
          <w:lang w:val="en-IN"/>
        </w:rPr>
      </w:pPr>
      <w:r w:rsidRPr="0028387A">
        <w:rPr>
          <w:b/>
          <w:bCs/>
          <w:lang w:val="en-IN"/>
        </w:rPr>
        <w:t>Annual Statement</w:t>
      </w:r>
    </w:p>
    <w:p w14:paraId="0376CD2B" w14:textId="77777777" w:rsidR="0028387A" w:rsidRPr="0028387A" w:rsidRDefault="0028387A" w:rsidP="0028387A">
      <w:pPr>
        <w:rPr>
          <w:lang w:val="en-IN"/>
        </w:rPr>
      </w:pPr>
      <w:r w:rsidRPr="0028387A">
        <w:rPr>
          <w:lang w:val="en-IN"/>
        </w:rPr>
        <w:t>The statement submitted to PERAC each year that describes the asset holdings and Fund balances as of December 3l and the transactions during the calendar year that affected the financial condition of the retirement system.</w:t>
      </w:r>
    </w:p>
    <w:p w14:paraId="7FA99ACC" w14:textId="77777777" w:rsidR="0028387A" w:rsidRPr="0028387A" w:rsidRDefault="0028387A" w:rsidP="0028387A">
      <w:pPr>
        <w:rPr>
          <w:b/>
          <w:bCs/>
          <w:lang w:val="en-IN"/>
        </w:rPr>
      </w:pPr>
      <w:r w:rsidRPr="0028387A">
        <w:rPr>
          <w:b/>
          <w:bCs/>
          <w:lang w:val="en-IN"/>
        </w:rPr>
        <w:t>Annuity Reserve Fund</w:t>
      </w:r>
    </w:p>
    <w:p w14:paraId="28A47C72" w14:textId="77777777" w:rsidR="0028387A" w:rsidRPr="0028387A" w:rsidRDefault="0028387A" w:rsidP="0028387A">
      <w:pPr>
        <w:rPr>
          <w:lang w:val="en-IN"/>
        </w:rPr>
      </w:pPr>
      <w:r w:rsidRPr="0028387A">
        <w:rPr>
          <w:lang w:val="en-IN"/>
        </w:rPr>
        <w:t>The fund into which total accumulated deductions, including interest, is transferred at the time a member retires, and from which annuity payments are made.</w:t>
      </w:r>
    </w:p>
    <w:p w14:paraId="4946F077" w14:textId="77777777" w:rsidR="0028387A" w:rsidRPr="0028387A" w:rsidRDefault="0028387A" w:rsidP="0028387A">
      <w:pPr>
        <w:rPr>
          <w:b/>
          <w:bCs/>
          <w:lang w:val="en-IN"/>
        </w:rPr>
      </w:pPr>
      <w:r w:rsidRPr="0028387A">
        <w:rPr>
          <w:b/>
          <w:bCs/>
          <w:lang w:val="en-IN"/>
        </w:rPr>
        <w:t>Annuity Savings Fund</w:t>
      </w:r>
    </w:p>
    <w:p w14:paraId="4183D0E9" w14:textId="77777777" w:rsidR="0028387A" w:rsidRPr="0028387A" w:rsidRDefault="0028387A" w:rsidP="0028387A">
      <w:pPr>
        <w:rPr>
          <w:lang w:val="en-IN"/>
        </w:rPr>
      </w:pPr>
      <w:r w:rsidRPr="0028387A">
        <w:rPr>
          <w:lang w:val="en-IN"/>
        </w:rPr>
        <w:t>The fund in which employee contributions plus interest credited are held for active members and for former members who have not withdrawn their contributions and are not yet receiving a benefit (inactive members).</w:t>
      </w:r>
    </w:p>
    <w:p w14:paraId="78F23FA6" w14:textId="77777777" w:rsidR="0028387A" w:rsidRPr="0028387A" w:rsidRDefault="0028387A" w:rsidP="0028387A">
      <w:pPr>
        <w:rPr>
          <w:b/>
          <w:bCs/>
          <w:lang w:val="en-IN"/>
        </w:rPr>
      </w:pPr>
      <w:r w:rsidRPr="0028387A">
        <w:rPr>
          <w:b/>
          <w:bCs/>
          <w:lang w:val="en-IN"/>
        </w:rPr>
        <w:t>Assets</w:t>
      </w:r>
    </w:p>
    <w:p w14:paraId="0080CEAD" w14:textId="77777777" w:rsidR="0028387A" w:rsidRPr="0028387A" w:rsidRDefault="0028387A" w:rsidP="0028387A">
      <w:pPr>
        <w:rPr>
          <w:lang w:val="en-IN"/>
        </w:rPr>
      </w:pPr>
      <w:r w:rsidRPr="0028387A">
        <w:rPr>
          <w:lang w:val="en-IN"/>
        </w:rPr>
        <w:t>The total value of securities. Assets grow through employer and employee contributions, as well as investment earnings. They are reduced by benefit payments and other disbursements. For valuation purposes, assets are usually measured at market value.</w:t>
      </w:r>
    </w:p>
    <w:p w14:paraId="688570A0" w14:textId="77777777" w:rsidR="0028387A" w:rsidRPr="0028387A" w:rsidRDefault="0028387A" w:rsidP="0028387A">
      <w:pPr>
        <w:rPr>
          <w:b/>
          <w:bCs/>
          <w:lang w:val="en-IN"/>
        </w:rPr>
      </w:pPr>
      <w:r w:rsidRPr="0028387A">
        <w:rPr>
          <w:b/>
          <w:bCs/>
          <w:lang w:val="en-IN"/>
        </w:rPr>
        <w:t>Cost of Benefits</w:t>
      </w:r>
    </w:p>
    <w:p w14:paraId="06606B05" w14:textId="5CDEE107" w:rsidR="0028387A" w:rsidRPr="0028387A" w:rsidRDefault="0028387A" w:rsidP="0028387A">
      <w:pPr>
        <w:rPr>
          <w:lang w:val="en-IN"/>
        </w:rPr>
      </w:pPr>
      <w:r w:rsidRPr="0028387A">
        <w:rPr>
          <w:lang w:val="en-IN"/>
        </w:rPr>
        <w:t>The estimated payment from the pension system for benefits for the fiscal year. This is the minimum amount payable during the first six years of some Funding Schedules.</w:t>
      </w:r>
      <w:r>
        <w:br/>
      </w:r>
    </w:p>
    <w:p w14:paraId="6F47DA90" w14:textId="0CF8D68E" w:rsidR="00745168" w:rsidRDefault="00000000">
      <w:pPr>
        <w:pStyle w:val="Heading2"/>
      </w:pPr>
      <w:r>
        <w:t>Commercial Profile Claim Analysis</w:t>
      </w:r>
    </w:p>
    <w:p w14:paraId="3298B761" w14:textId="77777777" w:rsidR="00745168" w:rsidRDefault="00000000">
      <w:r>
        <w:t>Commercial claims typically exhibit delayed reporting due to complexity and claim investigation requirements. IBNR helps insurers forecast future claim liabilities.</w:t>
      </w:r>
    </w:p>
    <w:p w14:paraId="27BFE1D3" w14:textId="77777777" w:rsidR="00745168" w:rsidRDefault="00000000">
      <w:r>
        <w:lastRenderedPageBreak/>
        <w:t>A high IBNR may signal under-reserving or the emergence of adverse development on existing claims.</w:t>
      </w:r>
    </w:p>
    <w:p w14:paraId="0747307A" w14:textId="77777777" w:rsidR="00745168" w:rsidRDefault="00000000">
      <w:r>
        <w:t>The average IBNR among the top 5 claims listed here is 143,117.49.</w:t>
      </w:r>
    </w:p>
    <w:p w14:paraId="511B5D1C" w14:textId="77777777" w:rsidR="00745168" w:rsidRDefault="00000000">
      <w:r>
        <w:t>The largest Ultimate Loss in this group is 149,970.97, for claim CLM004794.</w:t>
      </w:r>
    </w:p>
    <w:p w14:paraId="21CFDC22" w14:textId="77777777" w:rsidR="00745168" w:rsidRDefault="00000000">
      <w:pPr>
        <w:pStyle w:val="Heading2"/>
      </w:pPr>
      <w:r>
        <w:t>Top 5 Claims by IBNR (Commercial)</w:t>
      </w:r>
    </w:p>
    <w:tbl>
      <w:tblPr>
        <w:tblStyle w:val="TableGrid"/>
        <w:tblW w:w="0" w:type="auto"/>
        <w:tblLook w:val="04A0" w:firstRow="1" w:lastRow="0" w:firstColumn="1" w:lastColumn="0" w:noHBand="0" w:noVBand="1"/>
      </w:tblPr>
      <w:tblGrid>
        <w:gridCol w:w="1280"/>
        <w:gridCol w:w="1286"/>
        <w:gridCol w:w="1229"/>
        <w:gridCol w:w="1218"/>
        <w:gridCol w:w="1044"/>
        <w:gridCol w:w="919"/>
        <w:gridCol w:w="1880"/>
      </w:tblGrid>
      <w:tr w:rsidR="00745168" w14:paraId="02FE8A1C" w14:textId="77777777">
        <w:tc>
          <w:tcPr>
            <w:tcW w:w="1234" w:type="dxa"/>
          </w:tcPr>
          <w:p w14:paraId="3E3CB97A" w14:textId="77777777" w:rsidR="00745168" w:rsidRDefault="00000000">
            <w:r>
              <w:t>ClaimNumber</w:t>
            </w:r>
          </w:p>
        </w:tc>
        <w:tc>
          <w:tcPr>
            <w:tcW w:w="1234" w:type="dxa"/>
          </w:tcPr>
          <w:p w14:paraId="3AA44ED8" w14:textId="77777777" w:rsidR="00745168" w:rsidRDefault="00000000">
            <w:r>
              <w:t>ExposureYear</w:t>
            </w:r>
          </w:p>
        </w:tc>
        <w:tc>
          <w:tcPr>
            <w:tcW w:w="1234" w:type="dxa"/>
          </w:tcPr>
          <w:p w14:paraId="4C717FEC" w14:textId="77777777" w:rsidR="00745168" w:rsidRDefault="00000000">
            <w:r>
              <w:t>IncurredLoss</w:t>
            </w:r>
          </w:p>
        </w:tc>
        <w:tc>
          <w:tcPr>
            <w:tcW w:w="1234" w:type="dxa"/>
          </w:tcPr>
          <w:p w14:paraId="39455734" w14:textId="77777777" w:rsidR="00745168" w:rsidRDefault="00000000">
            <w:r>
              <w:t>UltimateLoss</w:t>
            </w:r>
          </w:p>
        </w:tc>
        <w:tc>
          <w:tcPr>
            <w:tcW w:w="1234" w:type="dxa"/>
          </w:tcPr>
          <w:p w14:paraId="342F30E5" w14:textId="77777777" w:rsidR="00745168" w:rsidRDefault="00000000">
            <w:r>
              <w:t>IBNR</w:t>
            </w:r>
          </w:p>
        </w:tc>
        <w:tc>
          <w:tcPr>
            <w:tcW w:w="1234" w:type="dxa"/>
          </w:tcPr>
          <w:p w14:paraId="11739437" w14:textId="77777777" w:rsidR="00745168" w:rsidRDefault="00000000">
            <w:r>
              <w:t>Currency</w:t>
            </w:r>
          </w:p>
        </w:tc>
        <w:tc>
          <w:tcPr>
            <w:tcW w:w="1234" w:type="dxa"/>
          </w:tcPr>
          <w:p w14:paraId="1A09BF59" w14:textId="77777777" w:rsidR="00745168" w:rsidRDefault="00000000">
            <w:r>
              <w:t>GeographicalLocation</w:t>
            </w:r>
          </w:p>
        </w:tc>
      </w:tr>
      <w:tr w:rsidR="00745168" w14:paraId="2004BEA3" w14:textId="77777777">
        <w:tc>
          <w:tcPr>
            <w:tcW w:w="1234" w:type="dxa"/>
          </w:tcPr>
          <w:p w14:paraId="7A05004D" w14:textId="77777777" w:rsidR="00745168" w:rsidRDefault="00000000">
            <w:r>
              <w:t>CLM002783</w:t>
            </w:r>
          </w:p>
        </w:tc>
        <w:tc>
          <w:tcPr>
            <w:tcW w:w="1234" w:type="dxa"/>
          </w:tcPr>
          <w:p w14:paraId="2CE989A8" w14:textId="77777777" w:rsidR="00745168" w:rsidRDefault="00000000">
            <w:r>
              <w:t>2019</w:t>
            </w:r>
          </w:p>
        </w:tc>
        <w:tc>
          <w:tcPr>
            <w:tcW w:w="1234" w:type="dxa"/>
          </w:tcPr>
          <w:p w14:paraId="1652AA01" w14:textId="77777777" w:rsidR="00745168" w:rsidRDefault="00000000">
            <w:r>
              <w:t>4820.56</w:t>
            </w:r>
          </w:p>
        </w:tc>
        <w:tc>
          <w:tcPr>
            <w:tcW w:w="1234" w:type="dxa"/>
          </w:tcPr>
          <w:p w14:paraId="7C50B623" w14:textId="77777777" w:rsidR="00745168" w:rsidRDefault="00000000">
            <w:r>
              <w:t>149731.48</w:t>
            </w:r>
          </w:p>
        </w:tc>
        <w:tc>
          <w:tcPr>
            <w:tcW w:w="1234" w:type="dxa"/>
          </w:tcPr>
          <w:p w14:paraId="3F684B62" w14:textId="77777777" w:rsidR="00745168" w:rsidRDefault="00000000">
            <w:r>
              <w:t>144910.92</w:t>
            </w:r>
          </w:p>
        </w:tc>
        <w:tc>
          <w:tcPr>
            <w:tcW w:w="1234" w:type="dxa"/>
          </w:tcPr>
          <w:p w14:paraId="1F20D362" w14:textId="77777777" w:rsidR="00745168" w:rsidRDefault="00000000">
            <w:r>
              <w:t>AUD</w:t>
            </w:r>
          </w:p>
        </w:tc>
        <w:tc>
          <w:tcPr>
            <w:tcW w:w="1234" w:type="dxa"/>
          </w:tcPr>
          <w:p w14:paraId="495A15D7" w14:textId="77777777" w:rsidR="00745168" w:rsidRDefault="00000000">
            <w:r>
              <w:t>London</w:t>
            </w:r>
          </w:p>
        </w:tc>
      </w:tr>
      <w:tr w:rsidR="00745168" w14:paraId="2D1FCA10" w14:textId="77777777">
        <w:tc>
          <w:tcPr>
            <w:tcW w:w="1234" w:type="dxa"/>
          </w:tcPr>
          <w:p w14:paraId="71122B69" w14:textId="77777777" w:rsidR="00745168" w:rsidRDefault="00000000">
            <w:r>
              <w:t>CLM001871</w:t>
            </w:r>
          </w:p>
        </w:tc>
        <w:tc>
          <w:tcPr>
            <w:tcW w:w="1234" w:type="dxa"/>
          </w:tcPr>
          <w:p w14:paraId="61183DD3" w14:textId="77777777" w:rsidR="00745168" w:rsidRDefault="00000000">
            <w:r>
              <w:t>2024</w:t>
            </w:r>
          </w:p>
        </w:tc>
        <w:tc>
          <w:tcPr>
            <w:tcW w:w="1234" w:type="dxa"/>
          </w:tcPr>
          <w:p w14:paraId="7A08AA08" w14:textId="77777777" w:rsidR="00745168" w:rsidRDefault="00000000">
            <w:r>
              <w:t>3013.77</w:t>
            </w:r>
          </w:p>
        </w:tc>
        <w:tc>
          <w:tcPr>
            <w:tcW w:w="1234" w:type="dxa"/>
          </w:tcPr>
          <w:p w14:paraId="396FE1B4" w14:textId="77777777" w:rsidR="00745168" w:rsidRDefault="00000000">
            <w:r>
              <w:t>147502.97</w:t>
            </w:r>
          </w:p>
        </w:tc>
        <w:tc>
          <w:tcPr>
            <w:tcW w:w="1234" w:type="dxa"/>
          </w:tcPr>
          <w:p w14:paraId="14328658" w14:textId="77777777" w:rsidR="00745168" w:rsidRDefault="00000000">
            <w:r>
              <w:t>144489.2</w:t>
            </w:r>
          </w:p>
        </w:tc>
        <w:tc>
          <w:tcPr>
            <w:tcW w:w="1234" w:type="dxa"/>
          </w:tcPr>
          <w:p w14:paraId="71588A2C" w14:textId="77777777" w:rsidR="00745168" w:rsidRDefault="00000000">
            <w:r>
              <w:t>CAD</w:t>
            </w:r>
          </w:p>
        </w:tc>
        <w:tc>
          <w:tcPr>
            <w:tcW w:w="1234" w:type="dxa"/>
          </w:tcPr>
          <w:p w14:paraId="6CB9C0A1" w14:textId="77777777" w:rsidR="00745168" w:rsidRDefault="00000000">
            <w:r>
              <w:t>Toronto</w:t>
            </w:r>
          </w:p>
        </w:tc>
      </w:tr>
      <w:tr w:rsidR="00745168" w14:paraId="52207A04" w14:textId="77777777">
        <w:tc>
          <w:tcPr>
            <w:tcW w:w="1234" w:type="dxa"/>
          </w:tcPr>
          <w:p w14:paraId="37979F1B" w14:textId="77777777" w:rsidR="00745168" w:rsidRDefault="00000000">
            <w:r>
              <w:t>CLM004794</w:t>
            </w:r>
          </w:p>
        </w:tc>
        <w:tc>
          <w:tcPr>
            <w:tcW w:w="1234" w:type="dxa"/>
          </w:tcPr>
          <w:p w14:paraId="4EBF99BC" w14:textId="77777777" w:rsidR="00745168" w:rsidRDefault="00000000">
            <w:r>
              <w:t>2021</w:t>
            </w:r>
          </w:p>
        </w:tc>
        <w:tc>
          <w:tcPr>
            <w:tcW w:w="1234" w:type="dxa"/>
          </w:tcPr>
          <w:p w14:paraId="2779B3B7" w14:textId="77777777" w:rsidR="00745168" w:rsidRDefault="00000000">
            <w:r>
              <w:t>7596.17</w:t>
            </w:r>
          </w:p>
        </w:tc>
        <w:tc>
          <w:tcPr>
            <w:tcW w:w="1234" w:type="dxa"/>
          </w:tcPr>
          <w:p w14:paraId="02F034F9" w14:textId="77777777" w:rsidR="00745168" w:rsidRDefault="00000000">
            <w:r>
              <w:t>149970.97</w:t>
            </w:r>
          </w:p>
        </w:tc>
        <w:tc>
          <w:tcPr>
            <w:tcW w:w="1234" w:type="dxa"/>
          </w:tcPr>
          <w:p w14:paraId="542CDE7E" w14:textId="77777777" w:rsidR="00745168" w:rsidRDefault="00000000">
            <w:r>
              <w:t>142374.8</w:t>
            </w:r>
          </w:p>
        </w:tc>
        <w:tc>
          <w:tcPr>
            <w:tcW w:w="1234" w:type="dxa"/>
          </w:tcPr>
          <w:p w14:paraId="58605DCB" w14:textId="77777777" w:rsidR="00745168" w:rsidRDefault="00000000">
            <w:r>
              <w:t>USD</w:t>
            </w:r>
          </w:p>
        </w:tc>
        <w:tc>
          <w:tcPr>
            <w:tcW w:w="1234" w:type="dxa"/>
          </w:tcPr>
          <w:p w14:paraId="03FB134F" w14:textId="77777777" w:rsidR="00745168" w:rsidRDefault="00000000">
            <w:r>
              <w:t>London</w:t>
            </w:r>
          </w:p>
        </w:tc>
      </w:tr>
      <w:tr w:rsidR="00745168" w14:paraId="07AB647B" w14:textId="77777777">
        <w:tc>
          <w:tcPr>
            <w:tcW w:w="1234" w:type="dxa"/>
          </w:tcPr>
          <w:p w14:paraId="42F5CDC2" w14:textId="77777777" w:rsidR="00745168" w:rsidRDefault="00000000">
            <w:r>
              <w:t>CLM002959</w:t>
            </w:r>
          </w:p>
        </w:tc>
        <w:tc>
          <w:tcPr>
            <w:tcW w:w="1234" w:type="dxa"/>
          </w:tcPr>
          <w:p w14:paraId="6AE3714D" w14:textId="77777777" w:rsidR="00745168" w:rsidRDefault="00000000">
            <w:r>
              <w:t>2022</w:t>
            </w:r>
          </w:p>
        </w:tc>
        <w:tc>
          <w:tcPr>
            <w:tcW w:w="1234" w:type="dxa"/>
          </w:tcPr>
          <w:p w14:paraId="327E9168" w14:textId="77777777" w:rsidR="00745168" w:rsidRDefault="00000000">
            <w:r>
              <w:t>7290.04</w:t>
            </w:r>
          </w:p>
        </w:tc>
        <w:tc>
          <w:tcPr>
            <w:tcW w:w="1234" w:type="dxa"/>
          </w:tcPr>
          <w:p w14:paraId="3C9D1521" w14:textId="77777777" w:rsidR="00745168" w:rsidRDefault="00000000">
            <w:r>
              <w:t>149262.86</w:t>
            </w:r>
          </w:p>
        </w:tc>
        <w:tc>
          <w:tcPr>
            <w:tcW w:w="1234" w:type="dxa"/>
          </w:tcPr>
          <w:p w14:paraId="71405E5D" w14:textId="77777777" w:rsidR="00745168" w:rsidRDefault="00000000">
            <w:r>
              <w:t>141972.82</w:t>
            </w:r>
          </w:p>
        </w:tc>
        <w:tc>
          <w:tcPr>
            <w:tcW w:w="1234" w:type="dxa"/>
          </w:tcPr>
          <w:p w14:paraId="4D710BA6" w14:textId="77777777" w:rsidR="00745168" w:rsidRDefault="00000000">
            <w:r>
              <w:t>AUD</w:t>
            </w:r>
          </w:p>
        </w:tc>
        <w:tc>
          <w:tcPr>
            <w:tcW w:w="1234" w:type="dxa"/>
          </w:tcPr>
          <w:p w14:paraId="04D8AE82" w14:textId="77777777" w:rsidR="00745168" w:rsidRDefault="00000000">
            <w:r>
              <w:t>London</w:t>
            </w:r>
          </w:p>
        </w:tc>
      </w:tr>
      <w:tr w:rsidR="00745168" w14:paraId="634A484F" w14:textId="77777777">
        <w:tc>
          <w:tcPr>
            <w:tcW w:w="1234" w:type="dxa"/>
          </w:tcPr>
          <w:p w14:paraId="553A7F73" w14:textId="77777777" w:rsidR="00745168" w:rsidRDefault="00000000">
            <w:r>
              <w:t>CLM002619</w:t>
            </w:r>
          </w:p>
        </w:tc>
        <w:tc>
          <w:tcPr>
            <w:tcW w:w="1234" w:type="dxa"/>
          </w:tcPr>
          <w:p w14:paraId="40384488" w14:textId="77777777" w:rsidR="00745168" w:rsidRDefault="00000000">
            <w:r>
              <w:t>2016</w:t>
            </w:r>
          </w:p>
        </w:tc>
        <w:tc>
          <w:tcPr>
            <w:tcW w:w="1234" w:type="dxa"/>
          </w:tcPr>
          <w:p w14:paraId="49A9E282" w14:textId="77777777" w:rsidR="00745168" w:rsidRDefault="00000000">
            <w:r>
              <w:t>1070.97</w:t>
            </w:r>
          </w:p>
        </w:tc>
        <w:tc>
          <w:tcPr>
            <w:tcW w:w="1234" w:type="dxa"/>
          </w:tcPr>
          <w:p w14:paraId="15636B8C" w14:textId="77777777" w:rsidR="00745168" w:rsidRDefault="00000000">
            <w:r>
              <w:t>142910.68</w:t>
            </w:r>
          </w:p>
        </w:tc>
        <w:tc>
          <w:tcPr>
            <w:tcW w:w="1234" w:type="dxa"/>
          </w:tcPr>
          <w:p w14:paraId="222196EE" w14:textId="77777777" w:rsidR="00745168" w:rsidRDefault="00000000">
            <w:r>
              <w:t>141839.71</w:t>
            </w:r>
          </w:p>
        </w:tc>
        <w:tc>
          <w:tcPr>
            <w:tcW w:w="1234" w:type="dxa"/>
          </w:tcPr>
          <w:p w14:paraId="7DA7DD5B" w14:textId="77777777" w:rsidR="00745168" w:rsidRDefault="00000000">
            <w:r>
              <w:t>CAD</w:t>
            </w:r>
          </w:p>
        </w:tc>
        <w:tc>
          <w:tcPr>
            <w:tcW w:w="1234" w:type="dxa"/>
          </w:tcPr>
          <w:p w14:paraId="2BE3F567" w14:textId="77777777" w:rsidR="00745168" w:rsidRDefault="00000000">
            <w:r>
              <w:t>London</w:t>
            </w:r>
          </w:p>
        </w:tc>
      </w:tr>
    </w:tbl>
    <w:p w14:paraId="33C4DB03" w14:textId="77777777" w:rsidR="00745168" w:rsidRDefault="00000000">
      <w:r>
        <w:t>Future projections generated by Vanna may change the ordering of these claims, replace rows in this table, or update specific loss amounts.</w:t>
      </w:r>
    </w:p>
    <w:p w14:paraId="46844C79" w14:textId="77777777" w:rsidR="0028387A" w:rsidRDefault="0028387A"/>
    <w:p w14:paraId="4BC44920" w14:textId="77777777" w:rsidR="0028387A" w:rsidRDefault="0028387A"/>
    <w:p w14:paraId="0DFA7529" w14:textId="77777777" w:rsidR="0028387A" w:rsidRPr="0028387A" w:rsidRDefault="0028387A" w:rsidP="0028387A">
      <w:pPr>
        <w:rPr>
          <w:b/>
          <w:bCs/>
          <w:lang w:val="en-IN"/>
        </w:rPr>
      </w:pPr>
      <w:r w:rsidRPr="0028387A">
        <w:rPr>
          <w:b/>
          <w:bCs/>
          <w:lang w:val="en-IN"/>
        </w:rPr>
        <w:t>Normal Cost</w:t>
      </w:r>
    </w:p>
    <w:p w14:paraId="5C6D4D88" w14:textId="77777777" w:rsidR="0028387A" w:rsidRPr="0028387A" w:rsidRDefault="0028387A" w:rsidP="0028387A">
      <w:pPr>
        <w:rPr>
          <w:lang w:val="en-IN"/>
        </w:rPr>
      </w:pPr>
      <w:r w:rsidRPr="0028387A">
        <w:rPr>
          <w:lang w:val="en-IN"/>
        </w:rPr>
        <w:t>Total Normal Cost is that portion of the Actuarial Present Value of pension plan benefits which is expected to accrue in the current fiscal year. The Employee Normal Cost is the amount of the expected employee contributions for the fiscal year. The Employer Normal Cost is the difference between the Total Normal Cost and the Employee Normal Cost.</w:t>
      </w:r>
    </w:p>
    <w:p w14:paraId="6844379D" w14:textId="77777777" w:rsidR="0028387A" w:rsidRPr="0028387A" w:rsidRDefault="0028387A" w:rsidP="0028387A">
      <w:pPr>
        <w:rPr>
          <w:b/>
          <w:bCs/>
          <w:lang w:val="en-IN"/>
        </w:rPr>
      </w:pPr>
      <w:r w:rsidRPr="0028387A">
        <w:rPr>
          <w:b/>
          <w:bCs/>
          <w:lang w:val="en-IN"/>
        </w:rPr>
        <w:t>Pension Benefit Obligation</w:t>
      </w:r>
    </w:p>
    <w:p w14:paraId="1C1680BE" w14:textId="77777777" w:rsidR="0028387A" w:rsidRPr="0028387A" w:rsidRDefault="0028387A" w:rsidP="0028387A">
      <w:pPr>
        <w:rPr>
          <w:lang w:val="en-IN"/>
        </w:rPr>
      </w:pPr>
      <w:r w:rsidRPr="0028387A">
        <w:rPr>
          <w:lang w:val="en-IN"/>
        </w:rPr>
        <w:t>The portion of the Actuarial Present Value attributable to past service in accordance with the Projected Unit Credit cost method as stipulated by GASB Statement Number 5 (GASB 5). GASB 5 has been superseded by GASB Statements Number 25 and 27.</w:t>
      </w:r>
    </w:p>
    <w:p w14:paraId="2655B26C" w14:textId="77777777" w:rsidR="0028387A" w:rsidRPr="0028387A" w:rsidRDefault="0028387A" w:rsidP="0028387A">
      <w:pPr>
        <w:rPr>
          <w:b/>
          <w:bCs/>
          <w:lang w:val="en-IN"/>
        </w:rPr>
      </w:pPr>
      <w:r w:rsidRPr="0028387A">
        <w:rPr>
          <w:b/>
          <w:bCs/>
          <w:lang w:val="en-IN"/>
        </w:rPr>
        <w:t>Pension Fund</w:t>
      </w:r>
    </w:p>
    <w:p w14:paraId="40AA91F5" w14:textId="77777777" w:rsidR="0028387A" w:rsidRPr="0028387A" w:rsidRDefault="0028387A" w:rsidP="0028387A">
      <w:pPr>
        <w:rPr>
          <w:lang w:val="en-IN"/>
        </w:rPr>
      </w:pPr>
      <w:r w:rsidRPr="0028387A">
        <w:rPr>
          <w:lang w:val="en-IN"/>
        </w:rPr>
        <w:t>The fund into which appropriation amounts as determined by PERAC are paid and from which pension benefits are paid. </w:t>
      </w:r>
    </w:p>
    <w:p w14:paraId="6AAE2ABC" w14:textId="77777777" w:rsidR="0028387A" w:rsidRPr="0028387A" w:rsidRDefault="0028387A" w:rsidP="0028387A">
      <w:pPr>
        <w:rPr>
          <w:b/>
          <w:bCs/>
          <w:lang w:val="en-IN"/>
        </w:rPr>
      </w:pPr>
      <w:r w:rsidRPr="0028387A">
        <w:rPr>
          <w:b/>
          <w:bCs/>
          <w:lang w:val="en-IN"/>
        </w:rPr>
        <w:t>Pension Reserve Fund</w:t>
      </w:r>
    </w:p>
    <w:p w14:paraId="36AA5A1F" w14:textId="77777777" w:rsidR="0028387A" w:rsidRPr="0028387A" w:rsidRDefault="0028387A" w:rsidP="0028387A">
      <w:pPr>
        <w:rPr>
          <w:lang w:val="en-IN"/>
        </w:rPr>
      </w:pPr>
      <w:r w:rsidRPr="0028387A">
        <w:rPr>
          <w:lang w:val="en-IN"/>
        </w:rPr>
        <w:lastRenderedPageBreak/>
        <w:t>The fund which shall be credited with all amounts set aside by a system for the purpose of establishing a reserve to meet future pension liabilities. These amounts would include excess interest earnings.</w:t>
      </w:r>
    </w:p>
    <w:p w14:paraId="40501959" w14:textId="77777777" w:rsidR="0028387A" w:rsidRPr="0028387A" w:rsidRDefault="0028387A" w:rsidP="0028387A">
      <w:pPr>
        <w:rPr>
          <w:b/>
          <w:bCs/>
          <w:lang w:val="en-IN"/>
        </w:rPr>
      </w:pPr>
      <w:r w:rsidRPr="0028387A">
        <w:rPr>
          <w:b/>
          <w:bCs/>
          <w:lang w:val="en-IN"/>
        </w:rPr>
        <w:t>Special Fund for Military Service Credit</w:t>
      </w:r>
    </w:p>
    <w:p w14:paraId="5BE94D1D" w14:textId="77777777" w:rsidR="0028387A" w:rsidRPr="0028387A" w:rsidRDefault="0028387A" w:rsidP="0028387A">
      <w:pPr>
        <w:rPr>
          <w:lang w:val="en-IN"/>
        </w:rPr>
      </w:pPr>
      <w:r w:rsidRPr="0028387A">
        <w:rPr>
          <w:lang w:val="en-IN"/>
        </w:rPr>
        <w:t>The fund which is credited with amounts paid by the retirement board equal to the amount which would have been contributed by a member during a military leave of absence as if the member had remained in active service of the retirement board. In the event of retirement or a non-</w:t>
      </w:r>
      <w:proofErr w:type="gramStart"/>
      <w:r w:rsidRPr="0028387A">
        <w:rPr>
          <w:lang w:val="en-IN"/>
        </w:rPr>
        <w:t>job related</w:t>
      </w:r>
      <w:proofErr w:type="gramEnd"/>
      <w:r w:rsidRPr="0028387A">
        <w:rPr>
          <w:lang w:val="en-IN"/>
        </w:rPr>
        <w:t xml:space="preserve"> death, such amount is transferred to the Annuity Reserve Fund. In the event of termination prior to retirement or death, such amount shall be transferred to the Pension Fund.</w:t>
      </w:r>
    </w:p>
    <w:p w14:paraId="7060825C" w14:textId="77777777" w:rsidR="0028387A" w:rsidRDefault="0028387A"/>
    <w:sectPr w:rsidR="002838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1922920">
    <w:abstractNumId w:val="8"/>
  </w:num>
  <w:num w:numId="2" w16cid:durableId="1752047421">
    <w:abstractNumId w:val="6"/>
  </w:num>
  <w:num w:numId="3" w16cid:durableId="1021132153">
    <w:abstractNumId w:val="5"/>
  </w:num>
  <w:num w:numId="4" w16cid:durableId="263001691">
    <w:abstractNumId w:val="4"/>
  </w:num>
  <w:num w:numId="5" w16cid:durableId="933245361">
    <w:abstractNumId w:val="7"/>
  </w:num>
  <w:num w:numId="6" w16cid:durableId="32534966">
    <w:abstractNumId w:val="3"/>
  </w:num>
  <w:num w:numId="7" w16cid:durableId="490564927">
    <w:abstractNumId w:val="2"/>
  </w:num>
  <w:num w:numId="8" w16cid:durableId="113405230">
    <w:abstractNumId w:val="1"/>
  </w:num>
  <w:num w:numId="9" w16cid:durableId="1085764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87A"/>
    <w:rsid w:val="0029639D"/>
    <w:rsid w:val="00326F90"/>
    <w:rsid w:val="00745168"/>
    <w:rsid w:val="00AA1D8D"/>
    <w:rsid w:val="00B47730"/>
    <w:rsid w:val="00CB0664"/>
    <w:rsid w:val="00F521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59CFE"/>
  <w14:defaultImageDpi w14:val="300"/>
  <w15:docId w15:val="{A86B151D-9075-41D8-8BB9-2BB22125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0781">
      <w:bodyDiv w:val="1"/>
      <w:marLeft w:val="0"/>
      <w:marRight w:val="0"/>
      <w:marTop w:val="0"/>
      <w:marBottom w:val="0"/>
      <w:divBdr>
        <w:top w:val="none" w:sz="0" w:space="0" w:color="auto"/>
        <w:left w:val="none" w:sz="0" w:space="0" w:color="auto"/>
        <w:bottom w:val="none" w:sz="0" w:space="0" w:color="auto"/>
        <w:right w:val="none" w:sz="0" w:space="0" w:color="auto"/>
      </w:divBdr>
    </w:div>
    <w:div w:id="68968698">
      <w:bodyDiv w:val="1"/>
      <w:marLeft w:val="0"/>
      <w:marRight w:val="0"/>
      <w:marTop w:val="0"/>
      <w:marBottom w:val="0"/>
      <w:divBdr>
        <w:top w:val="none" w:sz="0" w:space="0" w:color="auto"/>
        <w:left w:val="none" w:sz="0" w:space="0" w:color="auto"/>
        <w:bottom w:val="none" w:sz="0" w:space="0" w:color="auto"/>
        <w:right w:val="none" w:sz="0" w:space="0" w:color="auto"/>
      </w:divBdr>
    </w:div>
    <w:div w:id="88085475">
      <w:bodyDiv w:val="1"/>
      <w:marLeft w:val="0"/>
      <w:marRight w:val="0"/>
      <w:marTop w:val="0"/>
      <w:marBottom w:val="0"/>
      <w:divBdr>
        <w:top w:val="none" w:sz="0" w:space="0" w:color="auto"/>
        <w:left w:val="none" w:sz="0" w:space="0" w:color="auto"/>
        <w:bottom w:val="none" w:sz="0" w:space="0" w:color="auto"/>
        <w:right w:val="none" w:sz="0" w:space="0" w:color="auto"/>
      </w:divBdr>
    </w:div>
    <w:div w:id="877543821">
      <w:bodyDiv w:val="1"/>
      <w:marLeft w:val="0"/>
      <w:marRight w:val="0"/>
      <w:marTop w:val="0"/>
      <w:marBottom w:val="0"/>
      <w:divBdr>
        <w:top w:val="none" w:sz="0" w:space="0" w:color="auto"/>
        <w:left w:val="none" w:sz="0" w:space="0" w:color="auto"/>
        <w:bottom w:val="none" w:sz="0" w:space="0" w:color="auto"/>
        <w:right w:val="none" w:sz="0" w:space="0" w:color="auto"/>
      </w:divBdr>
    </w:div>
    <w:div w:id="938568202">
      <w:bodyDiv w:val="1"/>
      <w:marLeft w:val="0"/>
      <w:marRight w:val="0"/>
      <w:marTop w:val="0"/>
      <w:marBottom w:val="0"/>
      <w:divBdr>
        <w:top w:val="none" w:sz="0" w:space="0" w:color="auto"/>
        <w:left w:val="none" w:sz="0" w:space="0" w:color="auto"/>
        <w:bottom w:val="none" w:sz="0" w:space="0" w:color="auto"/>
        <w:right w:val="none" w:sz="0" w:space="0" w:color="auto"/>
      </w:divBdr>
    </w:div>
    <w:div w:id="1314601412">
      <w:bodyDiv w:val="1"/>
      <w:marLeft w:val="0"/>
      <w:marRight w:val="0"/>
      <w:marTop w:val="0"/>
      <w:marBottom w:val="0"/>
      <w:divBdr>
        <w:top w:val="none" w:sz="0" w:space="0" w:color="auto"/>
        <w:left w:val="none" w:sz="0" w:space="0" w:color="auto"/>
        <w:bottom w:val="none" w:sz="0" w:space="0" w:color="auto"/>
        <w:right w:val="none" w:sz="0" w:space="0" w:color="auto"/>
      </w:divBdr>
    </w:div>
    <w:div w:id="1419403280">
      <w:bodyDiv w:val="1"/>
      <w:marLeft w:val="0"/>
      <w:marRight w:val="0"/>
      <w:marTop w:val="0"/>
      <w:marBottom w:val="0"/>
      <w:divBdr>
        <w:top w:val="none" w:sz="0" w:space="0" w:color="auto"/>
        <w:left w:val="none" w:sz="0" w:space="0" w:color="auto"/>
        <w:bottom w:val="none" w:sz="0" w:space="0" w:color="auto"/>
        <w:right w:val="none" w:sz="0" w:space="0" w:color="auto"/>
      </w:divBdr>
    </w:div>
    <w:div w:id="1450972813">
      <w:bodyDiv w:val="1"/>
      <w:marLeft w:val="0"/>
      <w:marRight w:val="0"/>
      <w:marTop w:val="0"/>
      <w:marBottom w:val="0"/>
      <w:divBdr>
        <w:top w:val="none" w:sz="0" w:space="0" w:color="auto"/>
        <w:left w:val="none" w:sz="0" w:space="0" w:color="auto"/>
        <w:bottom w:val="none" w:sz="0" w:space="0" w:color="auto"/>
        <w:right w:val="none" w:sz="0" w:space="0" w:color="auto"/>
      </w:divBdr>
    </w:div>
    <w:div w:id="1452358889">
      <w:bodyDiv w:val="1"/>
      <w:marLeft w:val="0"/>
      <w:marRight w:val="0"/>
      <w:marTop w:val="0"/>
      <w:marBottom w:val="0"/>
      <w:divBdr>
        <w:top w:val="none" w:sz="0" w:space="0" w:color="auto"/>
        <w:left w:val="none" w:sz="0" w:space="0" w:color="auto"/>
        <w:bottom w:val="none" w:sz="0" w:space="0" w:color="auto"/>
        <w:right w:val="none" w:sz="0" w:space="0" w:color="auto"/>
      </w:divBdr>
    </w:div>
    <w:div w:id="1613434400">
      <w:bodyDiv w:val="1"/>
      <w:marLeft w:val="0"/>
      <w:marRight w:val="0"/>
      <w:marTop w:val="0"/>
      <w:marBottom w:val="0"/>
      <w:divBdr>
        <w:top w:val="none" w:sz="0" w:space="0" w:color="auto"/>
        <w:left w:val="none" w:sz="0" w:space="0" w:color="auto"/>
        <w:bottom w:val="none" w:sz="0" w:space="0" w:color="auto"/>
        <w:right w:val="none" w:sz="0" w:space="0" w:color="auto"/>
      </w:divBdr>
    </w:div>
    <w:div w:id="1698119313">
      <w:bodyDiv w:val="1"/>
      <w:marLeft w:val="0"/>
      <w:marRight w:val="0"/>
      <w:marTop w:val="0"/>
      <w:marBottom w:val="0"/>
      <w:divBdr>
        <w:top w:val="none" w:sz="0" w:space="0" w:color="auto"/>
        <w:left w:val="none" w:sz="0" w:space="0" w:color="auto"/>
        <w:bottom w:val="none" w:sz="0" w:space="0" w:color="auto"/>
        <w:right w:val="none" w:sz="0" w:space="0" w:color="auto"/>
      </w:divBdr>
    </w:div>
    <w:div w:id="1777092156">
      <w:bodyDiv w:val="1"/>
      <w:marLeft w:val="0"/>
      <w:marRight w:val="0"/>
      <w:marTop w:val="0"/>
      <w:marBottom w:val="0"/>
      <w:divBdr>
        <w:top w:val="none" w:sz="0" w:space="0" w:color="auto"/>
        <w:left w:val="none" w:sz="0" w:space="0" w:color="auto"/>
        <w:bottom w:val="none" w:sz="0" w:space="0" w:color="auto"/>
        <w:right w:val="none" w:sz="0" w:space="0" w:color="auto"/>
      </w:divBdr>
    </w:div>
    <w:div w:id="1899827161">
      <w:bodyDiv w:val="1"/>
      <w:marLeft w:val="0"/>
      <w:marRight w:val="0"/>
      <w:marTop w:val="0"/>
      <w:marBottom w:val="0"/>
      <w:divBdr>
        <w:top w:val="none" w:sz="0" w:space="0" w:color="auto"/>
        <w:left w:val="none" w:sz="0" w:space="0" w:color="auto"/>
        <w:bottom w:val="none" w:sz="0" w:space="0" w:color="auto"/>
        <w:right w:val="none" w:sz="0" w:space="0" w:color="auto"/>
      </w:divBdr>
    </w:div>
    <w:div w:id="20137268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Samarth Agarwal</cp:lastModifiedBy>
  <cp:revision>2</cp:revision>
  <dcterms:created xsi:type="dcterms:W3CDTF">2013-12-23T23:15:00Z</dcterms:created>
  <dcterms:modified xsi:type="dcterms:W3CDTF">2025-05-26T08:13:00Z</dcterms:modified>
  <cp:category/>
</cp:coreProperties>
</file>