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60"/>
        <w:jc w:val="center"/>
      </w:pPr>
      <w:r>
        <w:rPr>
          <w:rFonts w:ascii="Arial" w:cs="Arial" w:eastAsia="Arial" w:hAnsi="Arial"/>
          <w:b/>
          <w:bCs/>
          <w:color w:val="1F4E79"/>
          <w:sz w:val="64"/>
          <w:szCs w:val="64"/>
        </w:rPr>
        <w:t xml:space="preserve">TaxWise Advisor</w:t>
      </w:r>
    </w:p>
    <w:p>
      <w:pPr>
        <w:spacing w:before="0" w:after="80"/>
        <w:jc w:val="center"/>
      </w:pPr>
      <w:r>
        <w:rPr>
          <w:rFonts w:ascii="Arial" w:cs="Arial" w:eastAsia="Arial" w:hAnsi="Arial"/>
          <w:color w:val="2E75B6"/>
          <w:sz w:val="28"/>
          <w:szCs w:val="28"/>
        </w:rPr>
        <w:t xml:space="preserve">AI-Powered Tax Optimization Platform for Financial Advisors</w:t>
      </w:r>
    </w:p>
    <w:p>
      <w:pPr>
        <w:pBdr>
          <w:bottom w:val="single" w:color="2E75B6" w:sz="6" w:space="8"/>
        </w:pBdr>
        <w:spacing w:before="80" w:after="400"/>
        <w:jc w:val="center"/>
      </w:pPr>
      <w:r>
        <w:t xml:space="preserve"/>
      </w:r>
    </w:p>
    <w:p>
      <w:pPr>
        <w:spacing w:before="0" w:after="80"/>
        <w:jc w:val="center"/>
      </w:pPr>
      <w:r>
        <w:rPr>
          <w:rFonts w:ascii="Arial" w:cs="Arial" w:eastAsia="Arial" w:hAnsi="Arial"/>
          <w:b/>
          <w:bCs/>
          <w:color w:val="404040"/>
          <w:sz w:val="26"/>
          <w:szCs w:val="26"/>
        </w:rPr>
        <w:t xml:space="preserve">Product Requirements &amp; System Architecture</w:t>
      </w:r>
    </w:p>
    <w:p>
      <w:pPr>
        <w:spacing w:before="0" w:after="80"/>
        <w:jc w:val="center"/>
      </w:pPr>
      <w:r>
        <w:rPr>
          <w:rFonts w:ascii="Arial" w:cs="Arial" w:eastAsia="Arial" w:hAnsi="Arial"/>
          <w:color w:val="888888"/>
          <w:sz w:val="22"/>
          <w:szCs w:val="22"/>
        </w:rPr>
        <w:t xml:space="preserve">Version 1.0 — March 2026</w:t>
      </w:r>
    </w:p>
    <w:p>
      <w:pPr>
        <w:spacing w:before="0" w:after="80"/>
        <w:jc w:val="center"/>
      </w:pPr>
      <w:r>
        <w:rPr>
          <w:rFonts w:ascii="Arial" w:cs="Arial" w:eastAsia="Arial" w:hAnsi="Arial"/>
          <w:b/>
          <w:bCs/>
          <w:color w:val="CC0000"/>
          <w:sz w:val="22"/>
          <w:szCs w:val="22"/>
        </w:rPr>
        <w:t xml:space="preserve">CONFIDENTIAL</w:t>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1. Executive Summary</w:t>
      </w:r>
    </w:p>
    <w:p>
      <w:pPr>
        <w:spacing w:before="60" w:after="80"/>
      </w:pPr>
      <w:r>
        <w:rPr>
          <w:rFonts w:ascii="Arial" w:cs="Arial" w:eastAsia="Arial" w:hAnsi="Arial"/>
          <w:color w:val="000000"/>
          <w:sz w:val="22"/>
          <w:szCs w:val="22"/>
        </w:rPr>
        <w:t xml:space="preserve">TaxWise Advisor is a B2B SaaS platform that enables financial advisors to generate comprehensive, AI-powered tax optimization plans for their clients in minutes rather than hours. By ingesting uploaded financial documents — tax returns, brokerage statements, and retirement account statements — the platform extracts structured financial data, reasons over multi-year tax trajectories, and produces prioritized, explainable action plans covering Roth conversion strategy and tax-loss harvesting opportunities.</w:t>
      </w:r>
    </w:p>
    <w:p>
      <w:pPr>
        <w:spacing w:before="0" w:after="120"/>
      </w:pPr>
      <w:r>
        <w:t xml:space="preserve"/>
      </w:r>
    </w:p>
    <w:p>
      <w:pPr>
        <w:spacing w:before="60" w:after="80"/>
      </w:pPr>
      <w:r>
        <w:rPr>
          <w:rFonts w:ascii="Arial" w:cs="Arial" w:eastAsia="Arial" w:hAnsi="Arial"/>
          <w:color w:val="000000"/>
          <w:sz w:val="22"/>
          <w:szCs w:val="22"/>
        </w:rPr>
        <w:t xml:space="preserve">The platform is positioned as a software tool that augments advisor expertise. Advisors retain full professional responsibility for recommendations made to clients. The system surfaces analysis and reasoning; the advisor reviews, approves, and advises.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1.1 Problem Statement</w:t>
      </w:r>
    </w:p>
    <w:p>
      <w:pPr>
        <w:spacing w:before="60" w:after="80"/>
      </w:pPr>
      <w:r>
        <w:rPr>
          <w:rFonts w:ascii="Arial" w:cs="Arial" w:eastAsia="Arial" w:hAnsi="Arial"/>
          <w:color w:val="000000"/>
          <w:sz w:val="22"/>
          <w:szCs w:val="22"/>
        </w:rPr>
        <w:t xml:space="preserve">Financial advisors managing client tax optimization face three compounding problems:</w:t>
      </w:r>
    </w:p>
    <w:p>
      <w:pPr>
        <w:pStyle w:val="ListParagraph"/>
        <w:numPr>
          <w:ilvl w:val="0"/>
          <w:numId w:val="2"/>
        </w:numPr>
        <w:spacing w:before="40" w:after="40"/>
      </w:pPr>
      <w:r>
        <w:rPr>
          <w:rFonts w:ascii="Arial" w:cs="Arial" w:eastAsia="Arial" w:hAnsi="Arial"/>
          <w:sz w:val="22"/>
          <w:szCs w:val="22"/>
        </w:rPr>
        <w:t xml:space="preserve">The math is genuinely complex — Roth conversion decisions require simultaneously modeling current tax brackets, future income trajectories, RMD projections at age 73, IRMAA Medicare thresholds, ACA subsidy cliffs, and state tax implications across multiple years.</w:t>
      </w:r>
    </w:p>
    <w:p>
      <w:pPr>
        <w:pStyle w:val="ListParagraph"/>
        <w:numPr>
          <w:ilvl w:val="0"/>
          <w:numId w:val="2"/>
        </w:numPr>
        <w:spacing w:before="40" w:after="40"/>
      </w:pPr>
      <w:r>
        <w:rPr>
          <w:rFonts w:ascii="Arial" w:cs="Arial" w:eastAsia="Arial" w:hAnsi="Arial"/>
          <w:sz w:val="22"/>
          <w:szCs w:val="22"/>
        </w:rPr>
        <w:t xml:space="preserve">Existing tools (MaxiFi, Boldin, Pralana) are consumer-facing and require manual data entry — advisors spend 2-4 hours per client populating forms before any analysis begins.</w:t>
      </w:r>
    </w:p>
    <w:p>
      <w:pPr>
        <w:pStyle w:val="ListParagraph"/>
        <w:numPr>
          <w:ilvl w:val="0"/>
          <w:numId w:val="2"/>
        </w:numPr>
        <w:spacing w:before="40" w:after="40"/>
      </w:pPr>
      <w:r>
        <w:rPr>
          <w:rFonts w:ascii="Arial" w:cs="Arial" w:eastAsia="Arial" w:hAnsi="Arial"/>
          <w:sz w:val="22"/>
          <w:szCs w:val="22"/>
        </w:rPr>
        <w:t xml:space="preserve">The output is charts and sliders, not advisor-ready client deliverables — the advisor still has to synthesize findings into a coherent recommendation narrative.</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1.2 Solution</w:t>
      </w:r>
    </w:p>
    <w:p>
      <w:pPr>
        <w:spacing w:before="60" w:after="80"/>
      </w:pPr>
      <w:r>
        <w:rPr>
          <w:rFonts w:ascii="Arial" w:cs="Arial" w:eastAsia="Arial" w:hAnsi="Arial"/>
          <w:color w:val="000000"/>
          <w:sz w:val="22"/>
          <w:szCs w:val="22"/>
        </w:rPr>
        <w:t xml:space="preserve">TaxWise Advisor collapses the workflow: upload documents, review extracted data, enter a simple income projection table, and receive a prioritized tax optimization plan with a client-ready PDF report — in under 15 minutes.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1.3 Target User</w:t>
      </w:r>
    </w:p>
    <w:p>
      <w:pPr>
        <w:spacing w:before="60" w:after="80"/>
      </w:pPr>
      <w:r>
        <w:rPr>
          <w:rFonts w:ascii="Arial" w:cs="Arial" w:eastAsia="Arial" w:hAnsi="Arial"/>
          <w:color w:val="000000"/>
          <w:sz w:val="22"/>
          <w:szCs w:val="22"/>
        </w:rPr>
        <w:t xml:space="preserve">Independent Registered Investment Advisors (RIAs) and fee-only financial planners managing 50-300 client relationships. These advisors are sophisticated enough to evaluate AI-generated analysis critically, but do not have dedicated tax staff to run complex multi-year modeling for every client.</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1.4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Core Value Proposition</w:t>
            </w:r>
          </w:p>
          <w:p>
            <w:pPr>
              <w:spacing w:before="60"/>
            </w:pPr>
            <w:r>
              <w:rPr>
                <w:rFonts w:ascii="Arial" w:cs="Arial" w:eastAsia="Arial" w:hAnsi="Arial"/>
                <w:color w:val="000000"/>
                <w:sz w:val="20"/>
                <w:szCs w:val="20"/>
              </w:rPr>
              <w:t xml:space="preserve">TaxWise Advisor turns a 3-hour manual modeling exercise into a 15-minute document upload workflow — and produces a client-ready report the advisor can present directly.</w:t>
            </w:r>
          </w:p>
        </w:tc>
      </w:tr>
    </w:tbl>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2. Product Requirements</w:t>
      </w:r>
    </w:p>
    <w:p>
      <w:pPr>
        <w:pStyle w:val="Heading2"/>
        <w:spacing w:before="280" w:after="80"/>
      </w:pPr>
      <w:r>
        <w:rPr>
          <w:rFonts w:ascii="Arial" w:cs="Arial" w:eastAsia="Arial" w:hAnsi="Arial"/>
          <w:b/>
          <w:bCs/>
          <w:color w:val="2E75B6"/>
          <w:sz w:val="26"/>
          <w:szCs w:val="26"/>
        </w:rPr>
        <w:t xml:space="preserve">2.1 Scope — Version 1.0</w:t>
      </w:r>
    </w:p>
    <w:p>
      <w:pPr>
        <w:spacing w:before="60" w:after="80"/>
      </w:pPr>
      <w:r>
        <w:rPr>
          <w:rFonts w:ascii="Arial" w:cs="Arial" w:eastAsia="Arial" w:hAnsi="Arial"/>
          <w:color w:val="000000"/>
          <w:sz w:val="22"/>
          <w:szCs w:val="22"/>
        </w:rPr>
        <w:t xml:space="preserve">The following defines what is explicitly in and out of scope for the initial release.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upload &amp; AI extraction (PDF)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account connectivity (Plaid / OAuth)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1040 tax return parsing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Consumer-facing client portal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Brokerage statement parsing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Multi-advisor firm / team accounts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401(k) and IRA statement parsing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re-processing on annual update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gate &amp; advisor review 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Monte Carlo simulation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Advisor-entered income projection table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Estate planning / beneficiary optimization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Roth conversion analysis &amp;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Pension / defined benefit deep modeling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Tax-loss harvesting recommendations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Automated trade execution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location recommendations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integrations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Client-ready PDF report generation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Single-advisor account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 / multi-tenant</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2.2 User Roles — V1</w:t>
      </w:r>
    </w:p>
    <w:p>
      <w:pPr>
        <w:spacing w:before="60" w:after="80"/>
      </w:pPr>
      <w:r>
        <w:rPr>
          <w:rFonts w:ascii="Arial" w:cs="Arial" w:eastAsia="Arial" w:hAnsi="Arial"/>
          <w:color w:val="000000"/>
          <w:sz w:val="22"/>
          <w:szCs w:val="22"/>
        </w:rPr>
        <w:t xml:space="preserve">Version 1.0 supports a single role: the Advisor. One account equals one advisor. There is no client-facing access, no firm admin role, and no team sharing in this release.</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2.3 Functional Requirements</w:t>
      </w:r>
    </w:p>
    <w:p>
      <w:pPr>
        <w:pStyle w:val="Heading3"/>
        <w:spacing w:before="200" w:after="60"/>
      </w:pPr>
      <w:r>
        <w:rPr>
          <w:rFonts w:ascii="Arial" w:cs="Arial" w:eastAsia="Arial" w:hAnsi="Arial"/>
          <w:b/>
          <w:bCs/>
          <w:color w:val="404040"/>
          <w:sz w:val="24"/>
          <w:szCs w:val="24"/>
        </w:rPr>
        <w:t xml:space="preserve">2.3.1 Document Management</w:t>
      </w:r>
    </w:p>
    <w:p>
      <w:pPr>
        <w:pStyle w:val="ListParagraph"/>
        <w:numPr>
          <w:ilvl w:val="0"/>
          <w:numId w:val="2"/>
        </w:numPr>
        <w:spacing w:before="40" w:after="40"/>
      </w:pPr>
      <w:r>
        <w:rPr>
          <w:rFonts w:ascii="Arial" w:cs="Arial" w:eastAsia="Arial" w:hAnsi="Arial"/>
          <w:sz w:val="22"/>
          <w:szCs w:val="22"/>
        </w:rPr>
        <w:t xml:space="preserve">Advisor can upload one or more PDF documents per client.</w:t>
      </w:r>
    </w:p>
    <w:p>
      <w:pPr>
        <w:pStyle w:val="ListParagraph"/>
        <w:numPr>
          <w:ilvl w:val="0"/>
          <w:numId w:val="2"/>
        </w:numPr>
        <w:spacing w:before="40" w:after="40"/>
      </w:pPr>
      <w:r>
        <w:rPr>
          <w:rFonts w:ascii="Arial" w:cs="Arial" w:eastAsia="Arial" w:hAnsi="Arial"/>
          <w:sz w:val="22"/>
          <w:szCs w:val="22"/>
        </w:rPr>
        <w:t xml:space="preserve">System classifies each document by type (1040, brokerage statement, 401k, IRA, W-2, SSA estimate) with a confidence score.</w:t>
      </w:r>
    </w:p>
    <w:p>
      <w:pPr>
        <w:pStyle w:val="ListParagraph"/>
        <w:numPr>
          <w:ilvl w:val="0"/>
          <w:numId w:val="2"/>
        </w:numPr>
        <w:spacing w:before="40" w:after="40"/>
      </w:pPr>
      <w:r>
        <w:rPr>
          <w:rFonts w:ascii="Arial" w:cs="Arial" w:eastAsia="Arial" w:hAnsi="Arial"/>
          <w:sz w:val="22"/>
          <w:szCs w:val="22"/>
        </w:rPr>
        <w:t xml:space="preserve">Documents with classification confidence below 0.90 are rejected with an explanation of why classification failed and what the advisor should provide instead.</w:t>
      </w:r>
    </w:p>
    <w:p>
      <w:pPr>
        <w:pStyle w:val="ListParagraph"/>
        <w:numPr>
          <w:ilvl w:val="0"/>
          <w:numId w:val="2"/>
        </w:numPr>
        <w:spacing w:before="40" w:after="40"/>
      </w:pPr>
      <w:r>
        <w:rPr>
          <w:rFonts w:ascii="Arial" w:cs="Arial" w:eastAsia="Arial" w:hAnsi="Arial"/>
          <w:sz w:val="22"/>
          <w:szCs w:val="22"/>
        </w:rPr>
        <w:t xml:space="preserve">Raw uploaded documents are stored permanently and linked to the client record.</w:t>
      </w:r>
    </w:p>
    <w:p>
      <w:pPr>
        <w:pStyle w:val="ListParagraph"/>
        <w:numPr>
          <w:ilvl w:val="0"/>
          <w:numId w:val="2"/>
        </w:numPr>
        <w:spacing w:before="40" w:after="40"/>
      </w:pPr>
      <w:r>
        <w:rPr>
          <w:rFonts w:ascii="Arial" w:cs="Arial" w:eastAsia="Arial" w:hAnsi="Arial"/>
          <w:sz w:val="22"/>
          <w:szCs w:val="22"/>
        </w:rPr>
        <w:t xml:space="preserve">Advisor can view uploaded documents and their classification results.</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2.3.2 Extraction &amp; Confidence Gate</w:t>
      </w:r>
    </w:p>
    <w:p>
      <w:pPr>
        <w:pStyle w:val="ListParagraph"/>
        <w:numPr>
          <w:ilvl w:val="0"/>
          <w:numId w:val="2"/>
        </w:numPr>
        <w:spacing w:before="40" w:after="40"/>
      </w:pPr>
      <w:r>
        <w:rPr>
          <w:rFonts w:ascii="Arial" w:cs="Arial" w:eastAsia="Arial" w:hAnsi="Arial"/>
          <w:sz w:val="22"/>
          <w:szCs w:val="22"/>
        </w:rPr>
        <w:t xml:space="preserve">Each classified document is processed through a type-specific extraction pipeline.</w:t>
      </w:r>
    </w:p>
    <w:p>
      <w:pPr>
        <w:pStyle w:val="ListParagraph"/>
        <w:numPr>
          <w:ilvl w:val="0"/>
          <w:numId w:val="2"/>
        </w:numPr>
        <w:spacing w:before="40" w:after="40"/>
      </w:pPr>
      <w:r>
        <w:rPr>
          <w:rFonts w:ascii="Arial" w:cs="Arial" w:eastAsia="Arial" w:hAnsi="Arial"/>
          <w:sz w:val="22"/>
          <w:szCs w:val="22"/>
        </w:rPr>
        <w:t xml:space="preserve">Extracted fields are stored with individual confidence scores.</w:t>
      </w:r>
    </w:p>
    <w:p>
      <w:pPr>
        <w:pStyle w:val="ListParagraph"/>
        <w:numPr>
          <w:ilvl w:val="0"/>
          <w:numId w:val="2"/>
        </w:numPr>
        <w:spacing w:before="40" w:after="40"/>
      </w:pPr>
      <w:r>
        <w:rPr>
          <w:rFonts w:ascii="Arial" w:cs="Arial" w:eastAsia="Arial" w:hAnsi="Arial"/>
          <w:sz w:val="22"/>
          <w:szCs w:val="22"/>
        </w:rPr>
        <w:t xml:space="preserve">Fields are categorized as Hard Required (blocks plan generation), Soft Required (degrades specific plan sections), or Optional.</w:t>
      </w:r>
    </w:p>
    <w:p>
      <w:pPr>
        <w:pStyle w:val="ListParagraph"/>
        <w:numPr>
          <w:ilvl w:val="0"/>
          <w:numId w:val="2"/>
        </w:numPr>
        <w:spacing w:before="40" w:after="40"/>
      </w:pPr>
      <w:r>
        <w:rPr>
          <w:rFonts w:ascii="Arial" w:cs="Arial" w:eastAsia="Arial" w:hAnsi="Arial"/>
          <w:sz w:val="22"/>
          <w:szCs w:val="22"/>
        </w:rPr>
        <w:t xml:space="preserve">If any Hard Required field has extraction confidence below 0.85, the system halts and presents the advisor with a specific review screen — not a generic error.</w:t>
      </w:r>
    </w:p>
    <w:p>
      <w:pPr>
        <w:pStyle w:val="ListParagraph"/>
        <w:numPr>
          <w:ilvl w:val="0"/>
          <w:numId w:val="2"/>
        </w:numPr>
        <w:spacing w:before="40" w:after="40"/>
      </w:pPr>
      <w:r>
        <w:rPr>
          <w:rFonts w:ascii="Arial" w:cs="Arial" w:eastAsia="Arial" w:hAnsi="Arial"/>
          <w:sz w:val="22"/>
          <w:szCs w:val="22"/>
        </w:rPr>
        <w:t xml:space="preserve">The review screen shows: the field name, extracted value, confidence score, and reason for low confidence.</w:t>
      </w:r>
    </w:p>
    <w:p>
      <w:pPr>
        <w:pStyle w:val="ListParagraph"/>
        <w:numPr>
          <w:ilvl w:val="0"/>
          <w:numId w:val="2"/>
        </w:numPr>
        <w:spacing w:before="40" w:after="40"/>
      </w:pPr>
      <w:r>
        <w:rPr>
          <w:rFonts w:ascii="Arial" w:cs="Arial" w:eastAsia="Arial" w:hAnsi="Arial"/>
          <w:sz w:val="22"/>
          <w:szCs w:val="22"/>
        </w:rPr>
        <w:t xml:space="preserve">Advisor must take an explicit action on each flagged item: enter a corrected value, or confirm the extracted value is correct.</w:t>
      </w:r>
    </w:p>
    <w:p>
      <w:pPr>
        <w:pStyle w:val="ListParagraph"/>
        <w:numPr>
          <w:ilvl w:val="0"/>
          <w:numId w:val="2"/>
        </w:numPr>
        <w:spacing w:before="40" w:after="40"/>
      </w:pPr>
      <w:r>
        <w:rPr>
          <w:rFonts w:ascii="Arial" w:cs="Arial" w:eastAsia="Arial" w:hAnsi="Arial"/>
          <w:sz w:val="22"/>
          <w:szCs w:val="22"/>
        </w:rPr>
        <w:t xml:space="preserve">Only after all flagged items are resolved does the system proceed to cross-document validation.</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2.3.3 Cross-Document Validation</w:t>
      </w:r>
    </w:p>
    <w:p>
      <w:pPr>
        <w:pStyle w:val="ListParagraph"/>
        <w:numPr>
          <w:ilvl w:val="0"/>
          <w:numId w:val="2"/>
        </w:numPr>
        <w:spacing w:before="40" w:after="40"/>
      </w:pPr>
      <w:r>
        <w:rPr>
          <w:rFonts w:ascii="Arial" w:cs="Arial" w:eastAsia="Arial" w:hAnsi="Arial"/>
          <w:sz w:val="22"/>
          <w:szCs w:val="22"/>
        </w:rPr>
        <w:t xml:space="preserve">After all documents are extracted, the system runs consistency checks across documents.</w:t>
      </w:r>
    </w:p>
    <w:p>
      <w:pPr>
        <w:pStyle w:val="ListParagraph"/>
        <w:numPr>
          <w:ilvl w:val="0"/>
          <w:numId w:val="2"/>
        </w:numPr>
        <w:spacing w:before="40" w:after="40"/>
      </w:pPr>
      <w:r>
        <w:rPr>
          <w:rFonts w:ascii="Arial" w:cs="Arial" w:eastAsia="Arial" w:hAnsi="Arial"/>
          <w:sz w:val="22"/>
          <w:szCs w:val="22"/>
        </w:rPr>
        <w:t xml:space="preserve">Contradictions (e.g., AGI on 1040 does not match sum of income sources) are surfaced individually.</w:t>
      </w:r>
    </w:p>
    <w:p>
      <w:pPr>
        <w:pStyle w:val="ListParagraph"/>
        <w:numPr>
          <w:ilvl w:val="0"/>
          <w:numId w:val="2"/>
        </w:numPr>
        <w:spacing w:before="40" w:after="40"/>
      </w:pPr>
      <w:r>
        <w:rPr>
          <w:rFonts w:ascii="Arial" w:cs="Arial" w:eastAsia="Arial" w:hAnsi="Arial"/>
          <w:sz w:val="22"/>
          <w:szCs w:val="22"/>
        </w:rPr>
        <w:t xml:space="preserve">Advisor must resolve each contradiction explicitly before proceeding.</w:t>
      </w:r>
    </w:p>
    <w:p>
      <w:pPr>
        <w:pStyle w:val="ListParagraph"/>
        <w:numPr>
          <w:ilvl w:val="0"/>
          <w:numId w:val="2"/>
        </w:numPr>
        <w:spacing w:before="40" w:after="40"/>
      </w:pPr>
      <w:r>
        <w:rPr>
          <w:rFonts w:ascii="Arial" w:cs="Arial" w:eastAsia="Arial" w:hAnsi="Arial"/>
          <w:sz w:val="22"/>
          <w:szCs w:val="22"/>
        </w:rPr>
        <w:t xml:space="preserve">Resolved contradictions and advisor-entered values are stored with provenance tracking (what the system extracted vs. what the advisor confirmed).</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2.3.4 Income Projection Table</w:t>
      </w:r>
    </w:p>
    <w:p>
      <w:pPr>
        <w:pStyle w:val="ListParagraph"/>
        <w:numPr>
          <w:ilvl w:val="0"/>
          <w:numId w:val="2"/>
        </w:numPr>
        <w:spacing w:before="40" w:after="40"/>
      </w:pPr>
      <w:r>
        <w:rPr>
          <w:rFonts w:ascii="Arial" w:cs="Arial" w:eastAsia="Arial" w:hAnsi="Arial"/>
          <w:sz w:val="22"/>
          <w:szCs w:val="22"/>
        </w:rPr>
        <w:t xml:space="preserve">After extraction is complete and validated, advisor is presented with a structured income projection table.</w:t>
      </w:r>
    </w:p>
    <w:p>
      <w:pPr>
        <w:pStyle w:val="ListParagraph"/>
        <w:numPr>
          <w:ilvl w:val="0"/>
          <w:numId w:val="2"/>
        </w:numPr>
        <w:spacing w:before="40" w:after="40"/>
      </w:pPr>
      <w:r>
        <w:rPr>
          <w:rFonts w:ascii="Arial" w:cs="Arial" w:eastAsia="Arial" w:hAnsi="Arial"/>
          <w:sz w:val="22"/>
          <w:szCs w:val="22"/>
        </w:rPr>
        <w:t xml:space="preserve">Table fields: Year, Estimated Income, Notes (optional).</w:t>
      </w:r>
    </w:p>
    <w:p>
      <w:pPr>
        <w:pStyle w:val="ListParagraph"/>
        <w:numPr>
          <w:ilvl w:val="0"/>
          <w:numId w:val="2"/>
        </w:numPr>
        <w:spacing w:before="40" w:after="40"/>
      </w:pPr>
      <w:r>
        <w:rPr>
          <w:rFonts w:ascii="Arial" w:cs="Arial" w:eastAsia="Arial" w:hAnsi="Arial"/>
          <w:sz w:val="22"/>
          <w:szCs w:val="22"/>
        </w:rPr>
        <w:t xml:space="preserve">Additional inputs: Filing status for projection years, expected Social Security start age, expected monthly SS benefit.</w:t>
      </w:r>
    </w:p>
    <w:p>
      <w:pPr>
        <w:pStyle w:val="ListParagraph"/>
        <w:numPr>
          <w:ilvl w:val="0"/>
          <w:numId w:val="2"/>
        </w:numPr>
        <w:spacing w:before="40" w:after="40"/>
      </w:pPr>
      <w:r>
        <w:rPr>
          <w:rFonts w:ascii="Arial" w:cs="Arial" w:eastAsia="Arial" w:hAnsi="Arial"/>
          <w:sz w:val="22"/>
          <w:szCs w:val="22"/>
        </w:rPr>
        <w:t xml:space="preserve">Advisor can add or remove years. Minimum: current year + 2 forward years required.</w:t>
      </w:r>
    </w:p>
    <w:p>
      <w:pPr>
        <w:pStyle w:val="ListParagraph"/>
        <w:numPr>
          <w:ilvl w:val="0"/>
          <w:numId w:val="2"/>
        </w:numPr>
        <w:spacing w:before="40" w:after="40"/>
      </w:pPr>
      <w:r>
        <w:rPr>
          <w:rFonts w:ascii="Arial" w:cs="Arial" w:eastAsia="Arial" w:hAnsi="Arial"/>
          <w:sz w:val="22"/>
          <w:szCs w:val="22"/>
        </w:rPr>
        <w:t xml:space="preserve">This is a manual data entry form — no AI inference of future income.</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2.3.5 Plan Generation</w:t>
      </w:r>
    </w:p>
    <w:p>
      <w:pPr>
        <w:pStyle w:val="ListParagraph"/>
        <w:numPr>
          <w:ilvl w:val="0"/>
          <w:numId w:val="2"/>
        </w:numPr>
        <w:spacing w:before="40" w:after="40"/>
      </w:pPr>
      <w:r>
        <w:rPr>
          <w:rFonts w:ascii="Arial" w:cs="Arial" w:eastAsia="Arial" w:hAnsi="Arial"/>
          <w:sz w:val="22"/>
          <w:szCs w:val="22"/>
        </w:rPr>
        <w:t xml:space="preserve">Plan generation is only unlocked after: all confidence gates cleared, all validation contradictions resolved, income table saved.</w:t>
      </w:r>
    </w:p>
    <w:p>
      <w:pPr>
        <w:pStyle w:val="ListParagraph"/>
        <w:numPr>
          <w:ilvl w:val="0"/>
          <w:numId w:val="2"/>
        </w:numPr>
        <w:spacing w:before="40" w:after="40"/>
      </w:pPr>
      <w:r>
        <w:rPr>
          <w:rFonts w:ascii="Arial" w:cs="Arial" w:eastAsia="Arial" w:hAnsi="Arial"/>
          <w:sz w:val="22"/>
          <w:szCs w:val="22"/>
        </w:rPr>
        <w:t xml:space="preserve">The reasoning engine runs a sequential 4-step analysis: Tax Trajectory, Conversion Optimizer, TLH &amp; Asset Location, Plan Synthesis.</w:t>
      </w:r>
    </w:p>
    <w:p>
      <w:pPr>
        <w:pStyle w:val="ListParagraph"/>
        <w:numPr>
          <w:ilvl w:val="0"/>
          <w:numId w:val="2"/>
        </w:numPr>
        <w:spacing w:before="40" w:after="40"/>
      </w:pPr>
      <w:r>
        <w:rPr>
          <w:rFonts w:ascii="Arial" w:cs="Arial" w:eastAsia="Arial" w:hAnsi="Arial"/>
          <w:sz w:val="22"/>
          <w:szCs w:val="22"/>
        </w:rPr>
        <w:t xml:space="preserve">Each step produces structured output that is stored and can be displayed to the advisor.</w:t>
      </w:r>
    </w:p>
    <w:p>
      <w:pPr>
        <w:pStyle w:val="ListParagraph"/>
        <w:numPr>
          <w:ilvl w:val="0"/>
          <w:numId w:val="2"/>
        </w:numPr>
        <w:spacing w:before="40" w:after="40"/>
      </w:pPr>
      <w:r>
        <w:rPr>
          <w:rFonts w:ascii="Arial" w:cs="Arial" w:eastAsia="Arial" w:hAnsi="Arial"/>
          <w:sz w:val="22"/>
          <w:szCs w:val="22"/>
        </w:rPr>
        <w:t xml:space="preserve">Advisor can see intermediate reasoning steps — the plan is not a black box.</w:t>
      </w:r>
    </w:p>
    <w:p>
      <w:pPr>
        <w:pStyle w:val="ListParagraph"/>
        <w:numPr>
          <w:ilvl w:val="0"/>
          <w:numId w:val="2"/>
        </w:numPr>
        <w:spacing w:before="40" w:after="40"/>
      </w:pPr>
      <w:r>
        <w:rPr>
          <w:rFonts w:ascii="Arial" w:cs="Arial" w:eastAsia="Arial" w:hAnsi="Arial"/>
          <w:sz w:val="22"/>
          <w:szCs w:val="22"/>
        </w:rPr>
        <w:t xml:space="preserve">If TLH section cannot run due to missing cost basis data, that section is clearly marked as incomplete with an explanation.</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2.3.6 Report Generation</w:t>
      </w:r>
    </w:p>
    <w:p>
      <w:pPr>
        <w:pStyle w:val="ListParagraph"/>
        <w:numPr>
          <w:ilvl w:val="0"/>
          <w:numId w:val="2"/>
        </w:numPr>
        <w:spacing w:before="40" w:after="40"/>
      </w:pPr>
      <w:r>
        <w:rPr>
          <w:rFonts w:ascii="Arial" w:cs="Arial" w:eastAsia="Arial" w:hAnsi="Arial"/>
          <w:sz w:val="22"/>
          <w:szCs w:val="22"/>
        </w:rPr>
        <w:t xml:space="preserve">Advisor can generate a client-ready PDF report at any time after plan generation.</w:t>
      </w:r>
    </w:p>
    <w:p>
      <w:pPr>
        <w:pStyle w:val="ListParagraph"/>
        <w:numPr>
          <w:ilvl w:val="0"/>
          <w:numId w:val="2"/>
        </w:numPr>
        <w:spacing w:before="40" w:after="40"/>
      </w:pPr>
      <w:r>
        <w:rPr>
          <w:rFonts w:ascii="Arial" w:cs="Arial" w:eastAsia="Arial" w:hAnsi="Arial"/>
          <w:sz w:val="22"/>
          <w:szCs w:val="22"/>
        </w:rPr>
        <w:t xml:space="preserve">Report includes: Executive Summary, Financial Snapshot, Tax Trajectory Analysis, Roth Conversion Strategy (year-by-year table), TLH Opportunities (if available), Asset Location Recommendations, Key Assumptions, Next Steps.</w:t>
      </w:r>
    </w:p>
    <w:p>
      <w:pPr>
        <w:pStyle w:val="ListParagraph"/>
        <w:numPr>
          <w:ilvl w:val="0"/>
          <w:numId w:val="2"/>
        </w:numPr>
        <w:spacing w:before="40" w:after="40"/>
      </w:pPr>
      <w:r>
        <w:rPr>
          <w:rFonts w:ascii="Arial" w:cs="Arial" w:eastAsia="Arial" w:hAnsi="Arial"/>
          <w:sz w:val="22"/>
          <w:szCs w:val="22"/>
        </w:rPr>
        <w:t xml:space="preserve">Report includes a standard disclaimer that this analysis is prepared by the advisor using software tools and does not constitute independent financial advice.</w:t>
      </w:r>
    </w:p>
    <w:p>
      <w:pPr>
        <w:pStyle w:val="ListParagraph"/>
        <w:numPr>
          <w:ilvl w:val="0"/>
          <w:numId w:val="2"/>
        </w:numPr>
        <w:spacing w:before="40" w:after="40"/>
      </w:pPr>
      <w:r>
        <w:rPr>
          <w:rFonts w:ascii="Arial" w:cs="Arial" w:eastAsia="Arial" w:hAnsi="Arial"/>
          <w:sz w:val="22"/>
          <w:szCs w:val="22"/>
        </w:rPr>
        <w:t xml:space="preserve">Report is branded with a placeholder advisor name/logo field in V1.</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2.4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80"/>
        <w:gridCol w:w="39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extraction time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60 seconds per document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PDF, after upload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 generation time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90 seconds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4 reasoning steps combined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report generation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Extraction accuracy — 1040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92% field accuracy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Measured on test corpus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Extraction accuracy — brokerage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88% field accuracy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Varies by institution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Uptime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99.5% monthly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Excluding scheduled maintenance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encryption at rest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stored documents and snapshots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encryption in transit</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TLS 1.3</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handling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Type II roadmap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 for V1 launch</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2.5 Pricing Model</w:t>
      </w:r>
    </w:p>
    <w:p>
      <w:pPr>
        <w:spacing w:before="60" w:after="80"/>
      </w:pPr>
      <w:r>
        <w:rPr>
          <w:rFonts w:ascii="Arial" w:cs="Arial" w:eastAsia="Arial" w:hAnsi="Arial"/>
          <w:color w:val="000000"/>
          <w:sz w:val="22"/>
          <w:szCs w:val="22"/>
        </w:rPr>
        <w:t xml:space="preserve">TaxWise Advisor uses a seat-based subscription model with client capacity tiers: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Included Clients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Additional Clients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 /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client / month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$299 / month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 clients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 client / 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 /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clients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client / month</w:t>
            </w:r>
          </w:p>
        </w:tc>
      </w:tr>
    </w:tbl>
    <w:p>
      <w:pPr>
        <w:spacing w:before="0" w:after="120"/>
      </w:pPr>
      <w:r>
        <w:t xml:space="preserve"/>
      </w:r>
    </w:p>
    <w:p>
      <w:pPr>
        <w:spacing w:before="60" w:after="80"/>
      </w:pPr>
      <w:r>
        <w:rPr>
          <w:rFonts w:ascii="Arial" w:cs="Arial" w:eastAsia="Arial" w:hAnsi="Arial"/>
          <w:color w:val="000000"/>
          <w:sz w:val="22"/>
          <w:szCs w:val="22"/>
        </w:rPr>
        <w:t xml:space="preserve">Annual billing available at a 20% discount. No per-report or per-plan fees — unlimited plan generation within client capacity.</w:t>
      </w:r>
    </w:p>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3. System Architecture</w:t>
      </w:r>
    </w:p>
    <w:p>
      <w:pPr>
        <w:pStyle w:val="Heading2"/>
        <w:spacing w:before="280" w:after="80"/>
      </w:pPr>
      <w:r>
        <w:rPr>
          <w:rFonts w:ascii="Arial" w:cs="Arial" w:eastAsia="Arial" w:hAnsi="Arial"/>
          <w:b/>
          <w:bCs/>
          <w:color w:val="2E75B6"/>
          <w:sz w:val="26"/>
          <w:szCs w:val="26"/>
        </w:rPr>
        <w:t xml:space="preserve">3.1 Architectural Overview</w:t>
      </w:r>
    </w:p>
    <w:p>
      <w:pPr>
        <w:spacing w:before="60" w:after="80"/>
      </w:pPr>
      <w:r>
        <w:rPr>
          <w:rFonts w:ascii="Arial" w:cs="Arial" w:eastAsia="Arial" w:hAnsi="Arial"/>
          <w:color w:val="000000"/>
          <w:sz w:val="22"/>
          <w:szCs w:val="22"/>
        </w:rPr>
        <w:t xml:space="preserve">TaxWise Advisor is organized into four primary layers: the Advisor Frontend, the API Layer, the Processing Engine (comprising the Extraction Pipeline and Reasoning Engine), and the Data Layer. Each layer has a well-defined responsibility and communicates through typed interfaces.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Design Principle</w:t>
            </w:r>
          </w:p>
          <w:p>
            <w:pPr>
              <w:spacing w:before="60"/>
            </w:pPr>
            <w:r>
              <w:rPr>
                <w:rFonts w:ascii="Arial" w:cs="Arial" w:eastAsia="Arial" w:hAnsi="Arial"/>
                <w:color w:val="000000"/>
                <w:sz w:val="20"/>
                <w:szCs w:val="20"/>
              </w:rPr>
              <w:t xml:space="preserve">Confidence gates are not optional guardrails — they are the core trust mechanism of the product. Every stage has a threshold. Below it, the system stops and requires explicit advisor resolution. This is what differentiates TaxWise from tools that silently proceed with low-quality data.</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3.2 Layer Descriptions</w:t>
      </w:r>
    </w:p>
    <w:p>
      <w:pPr>
        <w:pStyle w:val="Heading3"/>
        <w:spacing w:before="200" w:after="60"/>
      </w:pPr>
      <w:r>
        <w:rPr>
          <w:rFonts w:ascii="Arial" w:cs="Arial" w:eastAsia="Arial" w:hAnsi="Arial"/>
          <w:b/>
          <w:bCs/>
          <w:color w:val="404040"/>
          <w:sz w:val="24"/>
          <w:szCs w:val="24"/>
        </w:rPr>
        <w:t xml:space="preserve">3.2.1 Advisor Frontend (Next.js)</w:t>
      </w:r>
    </w:p>
    <w:p>
      <w:pPr>
        <w:spacing w:before="60" w:after="80"/>
      </w:pPr>
      <w:r>
        <w:rPr>
          <w:rFonts w:ascii="Arial" w:cs="Arial" w:eastAsia="Arial" w:hAnsi="Arial"/>
          <w:color w:val="000000"/>
          <w:sz w:val="22"/>
          <w:szCs w:val="22"/>
        </w:rPr>
        <w:t xml:space="preserve">A web application providing the complete advisor workflow. Built with Next.js for fast iteration and good document upload UX. Key screens:</w:t>
      </w:r>
    </w:p>
    <w:p>
      <w:pPr>
        <w:pStyle w:val="ListParagraph"/>
        <w:numPr>
          <w:ilvl w:val="0"/>
          <w:numId w:val="2"/>
        </w:numPr>
        <w:spacing w:before="40" w:after="40"/>
      </w:pPr>
      <w:r>
        <w:rPr>
          <w:rFonts w:ascii="Arial" w:cs="Arial" w:eastAsia="Arial" w:hAnsi="Arial"/>
          <w:sz w:val="22"/>
          <w:szCs w:val="22"/>
        </w:rPr>
        <w:t xml:space="preserve">Client list — manage client records, see plan status per client</w:t>
      </w:r>
    </w:p>
    <w:p>
      <w:pPr>
        <w:pStyle w:val="ListParagraph"/>
        <w:numPr>
          <w:ilvl w:val="0"/>
          <w:numId w:val="2"/>
        </w:numPr>
        <w:spacing w:before="40" w:after="40"/>
      </w:pPr>
      <w:r>
        <w:rPr>
          <w:rFonts w:ascii="Arial" w:cs="Arial" w:eastAsia="Arial" w:hAnsi="Arial"/>
          <w:sz w:val="22"/>
          <w:szCs w:val="22"/>
        </w:rPr>
        <w:t xml:space="preserve">Document upload — drag-and-drop PDF upload, classification results, extraction status</w:t>
      </w:r>
    </w:p>
    <w:p>
      <w:pPr>
        <w:pStyle w:val="ListParagraph"/>
        <w:numPr>
          <w:ilvl w:val="0"/>
          <w:numId w:val="2"/>
        </w:numPr>
        <w:spacing w:before="40" w:after="40"/>
      </w:pPr>
      <w:r>
        <w:rPr>
          <w:rFonts w:ascii="Arial" w:cs="Arial" w:eastAsia="Arial" w:hAnsi="Arial"/>
          <w:sz w:val="22"/>
          <w:szCs w:val="22"/>
        </w:rPr>
        <w:t xml:space="preserve">Confidence gate review — explicit field-by-field confirmation interface</w:t>
      </w:r>
    </w:p>
    <w:p>
      <w:pPr>
        <w:pStyle w:val="ListParagraph"/>
        <w:numPr>
          <w:ilvl w:val="0"/>
          <w:numId w:val="2"/>
        </w:numPr>
        <w:spacing w:before="40" w:after="40"/>
      </w:pPr>
      <w:r>
        <w:rPr>
          <w:rFonts w:ascii="Arial" w:cs="Arial" w:eastAsia="Arial" w:hAnsi="Arial"/>
          <w:sz w:val="22"/>
          <w:szCs w:val="22"/>
        </w:rPr>
        <w:t xml:space="preserve">Income projection table — structured form for forward income estimates</w:t>
      </w:r>
    </w:p>
    <w:p>
      <w:pPr>
        <w:pStyle w:val="ListParagraph"/>
        <w:numPr>
          <w:ilvl w:val="0"/>
          <w:numId w:val="2"/>
        </w:numPr>
        <w:spacing w:before="40" w:after="40"/>
      </w:pPr>
      <w:r>
        <w:rPr>
          <w:rFonts w:ascii="Arial" w:cs="Arial" w:eastAsia="Arial" w:hAnsi="Arial"/>
          <w:sz w:val="22"/>
          <w:szCs w:val="22"/>
        </w:rPr>
        <w:t xml:space="preserve">Plan viewer — structured display of all 4 reasoning steps with expandable rationale</w:t>
      </w:r>
    </w:p>
    <w:p>
      <w:pPr>
        <w:pStyle w:val="ListParagraph"/>
        <w:numPr>
          <w:ilvl w:val="0"/>
          <w:numId w:val="2"/>
        </w:numPr>
        <w:spacing w:before="40" w:after="40"/>
      </w:pPr>
      <w:r>
        <w:rPr>
          <w:rFonts w:ascii="Arial" w:cs="Arial" w:eastAsia="Arial" w:hAnsi="Arial"/>
          <w:sz w:val="22"/>
          <w:szCs w:val="22"/>
        </w:rPr>
        <w:t xml:space="preserve">Report generation — preview and download client-ready PDF</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3.2.2 API Layer (Python / FastAPI)</w:t>
      </w:r>
    </w:p>
    <w:p>
      <w:pPr>
        <w:spacing w:before="60" w:after="80"/>
      </w:pPr>
      <w:r>
        <w:rPr>
          <w:rFonts w:ascii="Arial" w:cs="Arial" w:eastAsia="Arial" w:hAnsi="Arial"/>
          <w:color w:val="000000"/>
          <w:sz w:val="22"/>
          <w:szCs w:val="22"/>
        </w:rPr>
        <w:t xml:space="preserve">Stateless REST API handling all business logic orchestration. Key responsibilities:</w:t>
      </w:r>
    </w:p>
    <w:p>
      <w:pPr>
        <w:pStyle w:val="ListParagraph"/>
        <w:numPr>
          <w:ilvl w:val="0"/>
          <w:numId w:val="2"/>
        </w:numPr>
        <w:spacing w:before="40" w:after="40"/>
      </w:pPr>
      <w:r>
        <w:rPr>
          <w:rFonts w:ascii="Arial" w:cs="Arial" w:eastAsia="Arial" w:hAnsi="Arial"/>
          <w:sz w:val="22"/>
          <w:szCs w:val="22"/>
        </w:rPr>
        <w:t xml:space="preserve">Document ingestion routing — receives uploaded PDFs, stores to S3, triggers classification</w:t>
      </w:r>
    </w:p>
    <w:p>
      <w:pPr>
        <w:pStyle w:val="ListParagraph"/>
        <w:numPr>
          <w:ilvl w:val="0"/>
          <w:numId w:val="2"/>
        </w:numPr>
        <w:spacing w:before="40" w:after="40"/>
      </w:pPr>
      <w:r>
        <w:rPr>
          <w:rFonts w:ascii="Arial" w:cs="Arial" w:eastAsia="Arial" w:hAnsi="Arial"/>
          <w:sz w:val="22"/>
          <w:szCs w:val="22"/>
        </w:rPr>
        <w:t xml:space="preserve">Session and snapshot management — maintains client financial snapshot state</w:t>
      </w:r>
    </w:p>
    <w:p>
      <w:pPr>
        <w:pStyle w:val="ListParagraph"/>
        <w:numPr>
          <w:ilvl w:val="0"/>
          <w:numId w:val="2"/>
        </w:numPr>
        <w:spacing w:before="40" w:after="40"/>
      </w:pPr>
      <w:r>
        <w:rPr>
          <w:rFonts w:ascii="Arial" w:cs="Arial" w:eastAsia="Arial" w:hAnsi="Arial"/>
          <w:sz w:val="22"/>
          <w:szCs w:val="22"/>
        </w:rPr>
        <w:t xml:space="preserve">Gate enforcement — evaluates confidence thresholds, blocks downstream steps when gates are not cleared</w:t>
      </w:r>
    </w:p>
    <w:p>
      <w:pPr>
        <w:pStyle w:val="ListParagraph"/>
        <w:numPr>
          <w:ilvl w:val="0"/>
          <w:numId w:val="2"/>
        </w:numPr>
        <w:spacing w:before="40" w:after="40"/>
      </w:pPr>
      <w:r>
        <w:rPr>
          <w:rFonts w:ascii="Arial" w:cs="Arial" w:eastAsia="Arial" w:hAnsi="Arial"/>
          <w:sz w:val="22"/>
          <w:szCs w:val="22"/>
        </w:rPr>
        <w:t xml:space="preserve">Agent orchestration — sequences reasoning engine steps, passes structured outputs forward</w:t>
      </w:r>
    </w:p>
    <w:p>
      <w:pPr>
        <w:pStyle w:val="ListParagraph"/>
        <w:numPr>
          <w:ilvl w:val="0"/>
          <w:numId w:val="2"/>
        </w:numPr>
        <w:spacing w:before="40" w:after="40"/>
      </w:pPr>
      <w:r>
        <w:rPr>
          <w:rFonts w:ascii="Arial" w:cs="Arial" w:eastAsia="Arial" w:hAnsi="Arial"/>
          <w:sz w:val="22"/>
          <w:szCs w:val="22"/>
        </w:rPr>
        <w:t xml:space="preserve">Report triggering — invokes report generator with finalized plan data</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3.2.3 Extraction Pipeline</w:t>
      </w:r>
    </w:p>
    <w:p>
      <w:pPr>
        <w:spacing w:before="60" w:after="80"/>
      </w:pPr>
      <w:r>
        <w:rPr>
          <w:rFonts w:ascii="Arial" w:cs="Arial" w:eastAsia="Arial" w:hAnsi="Arial"/>
          <w:color w:val="000000"/>
          <w:sz w:val="22"/>
          <w:szCs w:val="22"/>
        </w:rPr>
        <w:t xml:space="preserve">A two-stage pipeline: classification followed by type-specific structured extraction.</w:t>
      </w:r>
    </w:p>
    <w:p>
      <w:pPr>
        <w:spacing w:before="0" w:after="120"/>
      </w:pPr>
      <w:r>
        <w:t xml:space="preserve"/>
      </w:r>
    </w:p>
    <w:p>
      <w:pPr>
        <w:spacing w:before="60" w:after="80"/>
      </w:pPr>
      <w:r>
        <w:rPr>
          <w:rFonts w:ascii="Arial" w:cs="Arial" w:eastAsia="Arial" w:hAnsi="Arial"/>
          <w:b/>
          <w:bCs/>
          <w:color w:val="000000"/>
          <w:sz w:val="22"/>
          <w:szCs w:val="22"/>
        </w:rPr>
        <w:t xml:space="preserve">Stage 1 — Document Classification:</w:t>
      </w:r>
    </w:p>
    <w:p>
      <w:pPr>
        <w:spacing w:before="60" w:after="80"/>
      </w:pPr>
      <w:r>
        <w:rPr>
          <w:rFonts w:ascii="Arial" w:cs="Arial" w:eastAsia="Arial" w:hAnsi="Arial"/>
          <w:color w:val="000000"/>
          <w:sz w:val="22"/>
          <w:szCs w:val="22"/>
        </w:rPr>
        <w:t xml:space="preserve">Each uploaded PDF is passed to Claude with a classification prompt. Output is a document type, institution (where applicable), tax year, and a classification confidence score. Documents scoring below 0.90 are rejected immediately with a plain-language explanation.</w:t>
      </w:r>
    </w:p>
    <w:p>
      <w:pPr>
        <w:spacing w:before="0" w:after="120"/>
      </w:pPr>
      <w:r>
        <w:t xml:space="preserve"/>
      </w:r>
    </w:p>
    <w:p>
      <w:pPr>
        <w:spacing w:before="60" w:after="80"/>
      </w:pPr>
      <w:r>
        <w:rPr>
          <w:rFonts w:ascii="Arial" w:cs="Arial" w:eastAsia="Arial" w:hAnsi="Arial"/>
          <w:b/>
          <w:bCs/>
          <w:color w:val="000000"/>
          <w:sz w:val="22"/>
          <w:szCs w:val="22"/>
        </w:rPr>
        <w:t xml:space="preserve">Stage 2 — Structured Extraction:</w:t>
      </w:r>
    </w:p>
    <w:p>
      <w:pPr>
        <w:spacing w:before="60" w:after="80"/>
      </w:pPr>
      <w:r>
        <w:rPr>
          <w:rFonts w:ascii="Arial" w:cs="Arial" w:eastAsia="Arial" w:hAnsi="Arial"/>
          <w:color w:val="000000"/>
          <w:sz w:val="22"/>
          <w:szCs w:val="22"/>
        </w:rPr>
        <w:t xml:space="preserve">Each document type has a dedicated extractor with a type-specific schema and prompt. PyMuPDF handles raw text extraction from the PDF; Claude interprets layout, context, and field mapping. Every extracted field carries an individual confidence score. The extraction schema for each document type defines which fields are Hard Required, Soft Required, or Optional.</w:t>
      </w:r>
    </w:p>
    <w:p>
      <w:pPr>
        <w:spacing w:before="0" w:after="120"/>
      </w:pPr>
      <w:r>
        <w:t xml:space="preserve"/>
      </w:r>
    </w:p>
    <w:p>
      <w:pPr>
        <w:spacing w:before="60" w:after="80"/>
      </w:pPr>
      <w:r>
        <w:rPr>
          <w:rFonts w:ascii="Arial" w:cs="Arial" w:eastAsia="Arial" w:hAnsi="Arial"/>
          <w:b/>
          <w:bCs/>
          <w:color w:val="000000"/>
          <w:sz w:val="22"/>
          <w:szCs w:val="22"/>
        </w:rPr>
        <w:t xml:space="preserve">Validation Layer:</w:t>
      </w:r>
    </w:p>
    <w:p>
      <w:pPr>
        <w:spacing w:before="60" w:after="80"/>
      </w:pPr>
      <w:r>
        <w:rPr>
          <w:rFonts w:ascii="Arial" w:cs="Arial" w:eastAsia="Arial" w:hAnsi="Arial"/>
          <w:color w:val="000000"/>
          <w:sz w:val="22"/>
          <w:szCs w:val="22"/>
        </w:rPr>
        <w:t xml:space="preserve">After all documents for a client are extracted, deterministic cross-document consistency checks run. Contradictions are surfaced to the advisor with specific explanations. The snapshot is not assembled until all contradictions are explicitly resolved.</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3.2.4 Client Financial Snapshot</w:t>
      </w:r>
    </w:p>
    <w:p>
      <w:pPr>
        <w:spacing w:before="60" w:after="80"/>
      </w:pPr>
      <w:r>
        <w:rPr>
          <w:rFonts w:ascii="Arial" w:cs="Arial" w:eastAsia="Arial" w:hAnsi="Arial"/>
          <w:color w:val="000000"/>
          <w:sz w:val="22"/>
          <w:szCs w:val="22"/>
        </w:rPr>
        <w:t xml:space="preserve">The canonical structured representation of a client's complete financial picture. It is assembled from all extracted documents plus advisor-entered data. The snapshot is the single source of truth that the reasoning engine reads from. Key data domains:</w:t>
      </w:r>
    </w:p>
    <w:p>
      <w:pPr>
        <w:pStyle w:val="ListParagraph"/>
        <w:numPr>
          <w:ilvl w:val="0"/>
          <w:numId w:val="2"/>
        </w:numPr>
        <w:spacing w:before="40" w:after="40"/>
      </w:pPr>
      <w:r>
        <w:rPr>
          <w:rFonts w:ascii="Arial" w:cs="Arial" w:eastAsia="Arial" w:hAnsi="Arial"/>
          <w:sz w:val="22"/>
          <w:szCs w:val="22"/>
        </w:rPr>
        <w:t xml:space="preserve">Personal: age, spouse age, filing status, state, retirement target age</w:t>
      </w:r>
    </w:p>
    <w:p>
      <w:pPr>
        <w:pStyle w:val="ListParagraph"/>
        <w:numPr>
          <w:ilvl w:val="0"/>
          <w:numId w:val="2"/>
        </w:numPr>
        <w:spacing w:before="40" w:after="40"/>
      </w:pPr>
      <w:r>
        <w:rPr>
          <w:rFonts w:ascii="Arial" w:cs="Arial" w:eastAsia="Arial" w:hAnsi="Arial"/>
          <w:sz w:val="22"/>
          <w:szCs w:val="22"/>
        </w:rPr>
        <w:t xml:space="preserve">Income: current year AGI, forward projections (advisor-entered), Social Security estimate</w:t>
      </w:r>
    </w:p>
    <w:p>
      <w:pPr>
        <w:pStyle w:val="ListParagraph"/>
        <w:numPr>
          <w:ilvl w:val="0"/>
          <w:numId w:val="2"/>
        </w:numPr>
        <w:spacing w:before="40" w:after="40"/>
      </w:pPr>
      <w:r>
        <w:rPr>
          <w:rFonts w:ascii="Arial" w:cs="Arial" w:eastAsia="Arial" w:hAnsi="Arial"/>
          <w:sz w:val="22"/>
          <w:szCs w:val="22"/>
        </w:rPr>
        <w:t xml:space="preserve">Accounts: balances and holdings by account type (taxable, 401k, traditional IRA, Roth IRA, HSA, cash)</w:t>
      </w:r>
    </w:p>
    <w:p>
      <w:pPr>
        <w:pStyle w:val="ListParagraph"/>
        <w:numPr>
          <w:ilvl w:val="0"/>
          <w:numId w:val="2"/>
        </w:numPr>
        <w:spacing w:before="40" w:after="40"/>
      </w:pPr>
      <w:r>
        <w:rPr>
          <w:rFonts w:ascii="Arial" w:cs="Arial" w:eastAsia="Arial" w:hAnsi="Arial"/>
          <w:sz w:val="22"/>
          <w:szCs w:val="22"/>
        </w:rPr>
        <w:t xml:space="preserve">Tax Profile: current marginal bracket, LTCG rate, IRMAA exposure, NIIT exposure, state rate</w:t>
      </w:r>
    </w:p>
    <w:p>
      <w:pPr>
        <w:pStyle w:val="ListParagraph"/>
        <w:numPr>
          <w:ilvl w:val="0"/>
          <w:numId w:val="2"/>
        </w:numPr>
        <w:spacing w:before="40" w:after="40"/>
      </w:pPr>
      <w:r>
        <w:rPr>
          <w:rFonts w:ascii="Arial" w:cs="Arial" w:eastAsia="Arial" w:hAnsi="Arial"/>
          <w:sz w:val="22"/>
          <w:szCs w:val="22"/>
        </w:rPr>
        <w:t xml:space="preserve">RMD Profile: projected pre-tax balance at RMD start age, projected first RMD amount</w:t>
      </w:r>
    </w:p>
    <w:p>
      <w:pPr>
        <w:pStyle w:val="ListParagraph"/>
        <w:numPr>
          <w:ilvl w:val="0"/>
          <w:numId w:val="2"/>
        </w:numPr>
        <w:spacing w:before="40" w:after="40"/>
      </w:pPr>
      <w:r>
        <w:rPr>
          <w:rFonts w:ascii="Arial" w:cs="Arial" w:eastAsia="Arial" w:hAnsi="Arial"/>
          <w:sz w:val="22"/>
          <w:szCs w:val="22"/>
        </w:rPr>
        <w:t xml:space="preserve">Data Provenance: source documents, advisor overrides, extraction timestamps</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3.2.5 Reasoning Engine</w:t>
      </w:r>
    </w:p>
    <w:p>
      <w:pPr>
        <w:spacing w:before="60" w:after="80"/>
      </w:pPr>
      <w:r>
        <w:rPr>
          <w:rFonts w:ascii="Arial" w:cs="Arial" w:eastAsia="Arial" w:hAnsi="Arial"/>
          <w:color w:val="000000"/>
          <w:sz w:val="22"/>
          <w:szCs w:val="22"/>
        </w:rPr>
        <w:t xml:space="preserve">A sequential 4-step agent chain. Each step receives a targeted slice of the snapshot (not the entire snapshot), runs a focused reasoning prompt, produces structured JSON output plus a plain-English narrative, and validates the output before passing it to the next step.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Tax Trajectory Analyzer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income projections, account balances, SS estimate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vs. retirement vs. RMD bracket, IRMAA risk flag, conversion window years identified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Conversion Optimizer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1 output + account balances + liquidity</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Year-by-year conversion amounts, bracket fill strategy, IRMAA/ACA cliff checks, estimated tax per 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TLH &amp; Asset Location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Taxable holdings with cost basis, unrealized G/L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securities to harvest, wash-sale risk flags, asset location moves recommended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Plan Synthesizer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Steps 1-3 outputs combined</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Prioritized action list, plain-English rationale for each recommendation, confidence flags</w:t>
            </w:r>
          </w:p>
        </w:tc>
      </w:tr>
    </w:tbl>
    <w:p>
      <w:pPr>
        <w:spacing w:before="0" w:after="120"/>
      </w:pPr>
      <w:r>
        <w:t xml:space="preserve"/>
      </w:r>
    </w:p>
    <w:p>
      <w:pPr>
        <w:spacing w:before="60" w:after="80"/>
      </w:pPr>
      <w:r>
        <w:rPr>
          <w:rFonts w:ascii="Arial" w:cs="Arial" w:eastAsia="Arial" w:hAnsi="Arial"/>
          <w:color w:val="000000"/>
          <w:sz w:val="22"/>
          <w:szCs w:val="22"/>
        </w:rPr>
        <w:t xml:space="preserve">Key design rule: the chat / Q&amp;A interface (post-plan) can read the snapshot and explain reasoning, but any change to an assumption (e.g., retirement age) writes back to the snapshot and re-runs the affected reasoning steps — it does not patch the plan in conversation.</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3.2.6 Report Generator</w:t>
      </w:r>
    </w:p>
    <w:p>
      <w:pPr>
        <w:spacing w:before="60" w:after="80"/>
      </w:pPr>
      <w:r>
        <w:rPr>
          <w:rFonts w:ascii="Arial" w:cs="Arial" w:eastAsia="Arial" w:hAnsi="Arial"/>
          <w:color w:val="000000"/>
          <w:sz w:val="22"/>
          <w:szCs w:val="22"/>
        </w:rPr>
        <w:t xml:space="preserve">A PDF generation service using WeasyPrint (HTML-to-PDF). The plan synthesizer output populates a structured HTML template. The report is structured as: Executive Summary, Financial Snapshot, Tax Trajectory, Roth Conversion Strategy (with year-by-year table), TLH Opportunities, Asset Location, Key Assumptions, and Next Steps. A standard software-tool disclaimer is included on every report.</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3.3 Data Architecture</w:t>
      </w:r>
    </w:p>
    <w:p>
      <w:pPr>
        <w:pStyle w:val="Heading3"/>
        <w:spacing w:before="200" w:after="60"/>
      </w:pPr>
      <w:r>
        <w:rPr>
          <w:rFonts w:ascii="Arial" w:cs="Arial" w:eastAsia="Arial" w:hAnsi="Arial"/>
          <w:b/>
          <w:bCs/>
          <w:color w:val="404040"/>
          <w:sz w:val="24"/>
          <w:szCs w:val="24"/>
        </w:rPr>
        <w:t xml:space="preserve">3.3.1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user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Clients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client record managed by an advisor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 many Documents, one active Snapshot, many Plans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uploaded PDF with classification and extraction result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Client; feeds into Snapshot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Snapshot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Assembled financial picture for a client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 from Documents + advisor inputs; one active per client in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tax optimization plan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Tied to a Snapshot; has 4 ReasoningSteps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ReasoningStep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step output (structured + narrative)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Belongs to Plan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PDF report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Tied to a Plan</w:t>
            </w:r>
          </w:p>
        </w:tc>
      </w:tr>
    </w:tbl>
    <w:p>
      <w:pPr>
        <w:spacing w:before="0" w:after="120"/>
      </w:pPr>
      <w:r>
        <w:t xml:space="preserve"/>
      </w:r>
    </w:p>
    <w:p>
      <w:pPr>
        <w:pStyle w:val="Heading3"/>
        <w:spacing w:before="200" w:after="60"/>
      </w:pPr>
      <w:r>
        <w:rPr>
          <w:rFonts w:ascii="Arial" w:cs="Arial" w:eastAsia="Arial" w:hAnsi="Arial"/>
          <w:b/>
          <w:bCs/>
          <w:color w:val="404040"/>
          <w:sz w:val="24"/>
          <w:szCs w:val="24"/>
        </w:rPr>
        <w:t xml:space="preserve">3.3.2 Storage Decisions</w:t>
      </w:r>
    </w:p>
    <w:p>
      <w:pPr>
        <w:pStyle w:val="ListParagraph"/>
        <w:numPr>
          <w:ilvl w:val="0"/>
          <w:numId w:val="2"/>
        </w:numPr>
        <w:spacing w:before="40" w:after="40"/>
      </w:pPr>
      <w:r>
        <w:rPr>
          <w:rFonts w:ascii="Arial" w:cs="Arial" w:eastAsia="Arial" w:hAnsi="Arial"/>
          <w:sz w:val="22"/>
          <w:szCs w:val="22"/>
        </w:rPr>
        <w:t xml:space="preserve">Raw PDFs: Amazon S3 or Google Cloud Storage — stored permanently, never deleted</w:t>
      </w:r>
    </w:p>
    <w:p>
      <w:pPr>
        <w:pStyle w:val="ListParagraph"/>
        <w:numPr>
          <w:ilvl w:val="0"/>
          <w:numId w:val="2"/>
        </w:numPr>
        <w:spacing w:before="40" w:after="40"/>
      </w:pPr>
      <w:r>
        <w:rPr>
          <w:rFonts w:ascii="Arial" w:cs="Arial" w:eastAsia="Arial" w:hAnsi="Arial"/>
          <w:sz w:val="22"/>
          <w:szCs w:val="22"/>
        </w:rPr>
        <w:t xml:space="preserve">Structured data: PostgreSQL with JSONB columns for snapshot and extraction results — allows schema flexibility as extraction improves</w:t>
      </w:r>
    </w:p>
    <w:p>
      <w:pPr>
        <w:pStyle w:val="ListParagraph"/>
        <w:numPr>
          <w:ilvl w:val="0"/>
          <w:numId w:val="2"/>
        </w:numPr>
        <w:spacing w:before="40" w:after="40"/>
      </w:pPr>
      <w:r>
        <w:rPr>
          <w:rFonts w:ascii="Arial" w:cs="Arial" w:eastAsia="Arial" w:hAnsi="Arial"/>
          <w:sz w:val="22"/>
          <w:szCs w:val="22"/>
        </w:rPr>
        <w:t xml:space="preserve">No versioning in V1: one active snapshot per client, overwritten when new documents are uploaded</w:t>
      </w:r>
    </w:p>
    <w:p>
      <w:pPr>
        <w:pStyle w:val="ListParagraph"/>
        <w:numPr>
          <w:ilvl w:val="0"/>
          <w:numId w:val="2"/>
        </w:numPr>
        <w:spacing w:before="40" w:after="40"/>
      </w:pPr>
      <w:r>
        <w:rPr>
          <w:rFonts w:ascii="Arial" w:cs="Arial" w:eastAsia="Arial" w:hAnsi="Arial"/>
          <w:sz w:val="22"/>
          <w:szCs w:val="22"/>
        </w:rPr>
        <w:t xml:space="preserve">All PII encrypted at rest using AES-256 field-level encryption for names, account numbers, and SSNs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450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3.12 / FastAPI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LLM ecosystem; async support; type safety with Pydantic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Reasoning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(Sonnet)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structured output, instruction following, financial reasoning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Text Extraction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PyMuPDF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accurate raw text layer extraction before Claude sees it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 JSONB</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Relational integrity + flexible schema for evolving snapshot structure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Storage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S3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low-cost, reliable; permanent document retention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iteration; strong file upload UX patterns; TypeScript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Clerk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Single-advisor model; handles auth infrastructure out of the box</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Report Output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WeasyPrint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HTML/CSS template to PDF; full styling control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or Render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operational overhead for early stage; easy to migrate to AWS later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 Management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Version-controlled .txt files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Prompts tracked independently from code changes</w:t>
            </w:r>
          </w:p>
        </w:tc>
      </w:tr>
    </w:tbl>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4. Document Extraction Specifications</w:t>
      </w:r>
    </w:p>
    <w:p>
      <w:pPr>
        <w:pStyle w:val="Heading2"/>
        <w:spacing w:before="280" w:after="80"/>
      </w:pPr>
      <w:r>
        <w:rPr>
          <w:rFonts w:ascii="Arial" w:cs="Arial" w:eastAsia="Arial" w:hAnsi="Arial"/>
          <w:b/>
          <w:bCs/>
          <w:color w:val="2E75B6"/>
          <w:sz w:val="26"/>
          <w:szCs w:val="26"/>
        </w:rPr>
        <w:t xml:space="preserve">4.1 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2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 Extracted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Hard Required Fields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IRS Form 1040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MVP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 filing status, taxable income, capital gains/losses, IRA deductions, SS income, tax paid, 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 filing status, taxable income, tax year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Brokerage Statement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1 — MVP</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 type, total value, cash balance, holdings (symbol, shares, price, market value, cost basis, unrealized G/L, holding period)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value, account type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401(k) Statement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MVP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contribution rate, employer, investment options summary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Traditional IRA Statement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1 — MVP</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 basis (if available)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Roth IRA Statement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MVP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V2</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Wages, federal tax withheld, state tax withheld, employer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SSA Benefit Estimate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 V2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benefit at 62, 67, 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 at 70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HSA Statement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V2</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 contribution YTD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4.2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if Below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document; explain why; advise what to provide instead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Required field extraction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Halt; require explicit advisor confirmation or correction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Required field extraction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 with warning; affected plan section marked incomplete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field extraction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0.60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Include if above; silently omit if below; note in provenance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Cross-document consistency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(deterministic)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 surface specific contradiction; require advisor resolution</w:t>
            </w:r>
          </w:p>
        </w:tc>
      </w:tr>
    </w:tbl>
    <w:p>
      <w:pPr>
        <w:spacing w:before="0" w:after="120"/>
      </w:pPr>
      <w:r>
        <w:t xml:space="preserve"/>
      </w:r>
    </w:p>
    <w:p>
      <w:pPr>
        <w:pStyle w:val="Heading2"/>
        <w:spacing w:before="280" w:after="80"/>
      </w:pPr>
      <w:r>
        <w:rPr>
          <w:rFonts w:ascii="Arial" w:cs="Arial" w:eastAsia="Arial" w:hAnsi="Arial"/>
          <w:b/>
          <w:bCs/>
          <w:color w:val="2E75B6"/>
          <w:sz w:val="26"/>
          <w:szCs w:val="26"/>
        </w:rPr>
        <w:t xml:space="preserve">4.3 The 1040 — Priority Extraction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Why the 1040 is the unlock document</w:t>
            </w:r>
          </w:p>
          <w:p>
            <w:pPr>
              <w:spacing w:before="60"/>
            </w:pPr>
            <w:r>
              <w:rPr>
                <w:rFonts w:ascii="Arial" w:cs="Arial" w:eastAsia="Arial" w:hAnsi="Arial"/>
                <w:color w:val="000000"/>
                <w:sz w:val="20"/>
                <w:szCs w:val="20"/>
              </w:rPr>
              <w:t xml:space="preserve">A single Form 1040 gives you AGI, filing status, capital gains/losses, IRA deductions, Social Security income, state taxes paid, and taxable income — all in one standardized document. If you only perfect extraction for two document types, make it the 1040 and the brokerage statement.</w:t>
            </w:r>
          </w:p>
        </w:tc>
      </w:tr>
    </w:tbl>
    <w:p>
      <w:pPr>
        <w:spacing w:before="0" w:after="120"/>
      </w:pPr>
      <w:r>
        <w:t xml:space="preserve"/>
      </w:r>
    </w:p>
    <w:p>
      <w:pPr>
        <w:spacing w:before="60" w:after="80"/>
      </w:pPr>
      <w:r>
        <w:rPr>
          <w:rFonts w:ascii="Arial" w:cs="Arial" w:eastAsia="Arial" w:hAnsi="Arial"/>
          <w:color w:val="000000"/>
          <w:sz w:val="22"/>
          <w:szCs w:val="22"/>
        </w:rPr>
        <w:t xml:space="preserve">The 1040 is also the most standardized document in the corpus — it follows IRS-mandated layouts that change slowly. Institution-specific brokerage statements are significantly more variable. Starting extraction development with the 1040 gives the team the fastest path to high-confidence extraction before tackling the harder variation problem.</w:t>
      </w:r>
    </w:p>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5. Reasoning Engine — Tax Logic</w:t>
      </w:r>
    </w:p>
    <w:p>
      <w:pPr>
        <w:pStyle w:val="Heading2"/>
        <w:spacing w:before="280" w:after="80"/>
      </w:pPr>
      <w:r>
        <w:rPr>
          <w:rFonts w:ascii="Arial" w:cs="Arial" w:eastAsia="Arial" w:hAnsi="Arial"/>
          <w:b/>
          <w:bCs/>
          <w:color w:val="2E75B6"/>
          <w:sz w:val="26"/>
          <w:szCs w:val="26"/>
        </w:rPr>
        <w:t xml:space="preserve">5.1 Tax Logic the Engine Must Encode</w:t>
      </w:r>
    </w:p>
    <w:p>
      <w:pPr>
        <w:spacing w:before="60" w:after="80"/>
      </w:pPr>
      <w:r>
        <w:rPr>
          <w:rFonts w:ascii="Arial" w:cs="Arial" w:eastAsia="Arial" w:hAnsi="Arial"/>
          <w:color w:val="000000"/>
          <w:sz w:val="22"/>
          <w:szCs w:val="22"/>
        </w:rPr>
        <w:t xml:space="preserve">The following rules must be explicitly encoded in reasoning prompts and validated in outputs. These are not inferred — they are deterministic financial rules that the LLM must apply correctly.</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5.1.1 Roth Conversion Logic</w:t>
      </w:r>
    </w:p>
    <w:p>
      <w:pPr>
        <w:pStyle w:val="ListParagraph"/>
        <w:numPr>
          <w:ilvl w:val="0"/>
          <w:numId w:val="2"/>
        </w:numPr>
        <w:spacing w:before="40" w:after="40"/>
      </w:pPr>
      <w:r>
        <w:rPr>
          <w:rFonts w:ascii="Arial" w:cs="Arial" w:eastAsia="Arial" w:hAnsi="Arial"/>
          <w:sz w:val="22"/>
          <w:szCs w:val="22"/>
        </w:rPr>
        <w:t xml:space="preserve">Fill tax brackets from the bottom up — never overshoot into the next bracket unintentionally</w:t>
      </w:r>
    </w:p>
    <w:p>
      <w:pPr>
        <w:pStyle w:val="ListParagraph"/>
        <w:numPr>
          <w:ilvl w:val="0"/>
          <w:numId w:val="2"/>
        </w:numPr>
        <w:spacing w:before="40" w:after="40"/>
      </w:pPr>
      <w:r>
        <w:rPr>
          <w:rFonts w:ascii="Arial" w:cs="Arial" w:eastAsia="Arial" w:hAnsi="Arial"/>
          <w:sz w:val="22"/>
          <w:szCs w:val="22"/>
        </w:rPr>
        <w:t xml:space="preserve">IRMAA lookback: Medicare premium surcharges use income from 2 years prior. A high-income conversion year affects Medicare premiums 2 years later.</w:t>
      </w:r>
    </w:p>
    <w:p>
      <w:pPr>
        <w:pStyle w:val="ListParagraph"/>
        <w:numPr>
          <w:ilvl w:val="0"/>
          <w:numId w:val="2"/>
        </w:numPr>
        <w:spacing w:before="40" w:after="40"/>
      </w:pPr>
      <w:r>
        <w:rPr>
          <w:rFonts w:ascii="Arial" w:cs="Arial" w:eastAsia="Arial" w:hAnsi="Arial"/>
          <w:sz w:val="22"/>
          <w:szCs w:val="22"/>
        </w:rPr>
        <w:t xml:space="preserve">IRMAA thresholds (2026): $106,000 (single) / $212,000 (MFJ) for Tier 1. Flag when projected post-conversion AGI approaches these thresholds.</w:t>
      </w:r>
    </w:p>
    <w:p>
      <w:pPr>
        <w:pStyle w:val="ListParagraph"/>
        <w:numPr>
          <w:ilvl w:val="0"/>
          <w:numId w:val="2"/>
        </w:numPr>
        <w:spacing w:before="40" w:after="40"/>
      </w:pPr>
      <w:r>
        <w:rPr>
          <w:rFonts w:ascii="Arial" w:cs="Arial" w:eastAsia="Arial" w:hAnsi="Arial"/>
          <w:sz w:val="22"/>
          <w:szCs w:val="22"/>
        </w:rPr>
        <w:t xml:space="preserve">ACA subsidy cliff: if client is pre-Medicare (under 65) and not covered by employer insurance, keep MAGI below 400% Federal Poverty Level to preserve ACA subsidies. Roth conversions count as MAGI.</w:t>
      </w:r>
    </w:p>
    <w:p>
      <w:pPr>
        <w:pStyle w:val="ListParagraph"/>
        <w:numPr>
          <w:ilvl w:val="0"/>
          <w:numId w:val="2"/>
        </w:numPr>
        <w:spacing w:before="40" w:after="40"/>
      </w:pPr>
      <w:r>
        <w:rPr>
          <w:rFonts w:ascii="Arial" w:cs="Arial" w:eastAsia="Arial" w:hAnsi="Arial"/>
          <w:sz w:val="22"/>
          <w:szCs w:val="22"/>
        </w:rPr>
        <w:t xml:space="preserve">Liquidity check: do not recommend conversions that require liquidating the converted account to pay the tax bill. Client must have taxable assets to cover the tax.</w:t>
      </w:r>
    </w:p>
    <w:p>
      <w:pPr>
        <w:pStyle w:val="ListParagraph"/>
        <w:numPr>
          <w:ilvl w:val="0"/>
          <w:numId w:val="2"/>
        </w:numPr>
        <w:spacing w:before="40" w:after="40"/>
      </w:pPr>
      <w:r>
        <w:rPr>
          <w:rFonts w:ascii="Arial" w:cs="Arial" w:eastAsia="Arial" w:hAnsi="Arial"/>
          <w:sz w:val="22"/>
          <w:szCs w:val="22"/>
        </w:rPr>
        <w:t xml:space="preserve">RMD urgency: projected pre-tax balance at age 73 drives urgency. Large projected RMDs that would push the client into a higher bracket or trigger IRMAA are the primary driver of conversion recommendations.</w:t>
      </w:r>
    </w:p>
    <w:p>
      <w:pPr>
        <w:pStyle w:val="ListParagraph"/>
        <w:numPr>
          <w:ilvl w:val="0"/>
          <w:numId w:val="2"/>
        </w:numPr>
        <w:spacing w:before="40" w:after="40"/>
      </w:pPr>
      <w:r>
        <w:rPr>
          <w:rFonts w:ascii="Arial" w:cs="Arial" w:eastAsia="Arial" w:hAnsi="Arial"/>
          <w:sz w:val="22"/>
          <w:szCs w:val="22"/>
        </w:rPr>
        <w:t xml:space="preserve">Social Security taxation: up to 85% of SS benefits become taxable above $34,000 (single) / $44,000 (MFJ) combined income. Roth conversions increase combined income. Model this interaction.</w:t>
      </w:r>
    </w:p>
    <w:p>
      <w:pPr>
        <w:pStyle w:val="ListParagraph"/>
        <w:numPr>
          <w:ilvl w:val="0"/>
          <w:numId w:val="2"/>
        </w:numPr>
        <w:spacing w:before="40" w:after="40"/>
      </w:pPr>
      <w:r>
        <w:rPr>
          <w:rFonts w:ascii="Arial" w:cs="Arial" w:eastAsia="Arial" w:hAnsi="Arial"/>
          <w:sz w:val="22"/>
          <w:szCs w:val="22"/>
        </w:rPr>
        <w:t xml:space="preserve">State tax treatment: some states exempt retirement income from state tax. Illinois (client's state) does not tax retirement income — this affects the net benefit calculation.</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5.1.2 Tax-Loss Harvesting Logic</w:t>
      </w:r>
    </w:p>
    <w:p>
      <w:pPr>
        <w:pStyle w:val="ListParagraph"/>
        <w:numPr>
          <w:ilvl w:val="0"/>
          <w:numId w:val="2"/>
        </w:numPr>
        <w:spacing w:before="40" w:after="40"/>
      </w:pPr>
      <w:r>
        <w:rPr>
          <w:rFonts w:ascii="Arial" w:cs="Arial" w:eastAsia="Arial" w:hAnsi="Arial"/>
          <w:sz w:val="22"/>
          <w:szCs w:val="22"/>
        </w:rPr>
        <w:t xml:space="preserve">Only applicable to taxable brokerage accounts — not retirement accounts</w:t>
      </w:r>
    </w:p>
    <w:p>
      <w:pPr>
        <w:pStyle w:val="ListParagraph"/>
        <w:numPr>
          <w:ilvl w:val="0"/>
          <w:numId w:val="2"/>
        </w:numPr>
        <w:spacing w:before="40" w:after="40"/>
      </w:pPr>
      <w:r>
        <w:rPr>
          <w:rFonts w:ascii="Arial" w:cs="Arial" w:eastAsia="Arial" w:hAnsi="Arial"/>
          <w:sz w:val="22"/>
          <w:szCs w:val="22"/>
        </w:rPr>
        <w:t xml:space="preserve">Wash-sale rule: a harvested loss is disallowed if a substantially identical security is purchased within 30 days before or after the sale, in any account including IRAs</w:t>
      </w:r>
    </w:p>
    <w:p>
      <w:pPr>
        <w:pStyle w:val="ListParagraph"/>
        <w:numPr>
          <w:ilvl w:val="0"/>
          <w:numId w:val="2"/>
        </w:numPr>
        <w:spacing w:before="40" w:after="40"/>
      </w:pPr>
      <w:r>
        <w:rPr>
          <w:rFonts w:ascii="Arial" w:cs="Arial" w:eastAsia="Arial" w:hAnsi="Arial"/>
          <w:sz w:val="22"/>
          <w:szCs w:val="22"/>
        </w:rPr>
        <w:t xml:space="preserve">Short-term losses offset short-term gains first (taxed as ordinary income), then long-term gains</w:t>
      </w:r>
    </w:p>
    <w:p>
      <w:pPr>
        <w:pStyle w:val="ListParagraph"/>
        <w:numPr>
          <w:ilvl w:val="0"/>
          <w:numId w:val="2"/>
        </w:numPr>
        <w:spacing w:before="40" w:after="40"/>
      </w:pPr>
      <w:r>
        <w:rPr>
          <w:rFonts w:ascii="Arial" w:cs="Arial" w:eastAsia="Arial" w:hAnsi="Arial"/>
          <w:sz w:val="22"/>
          <w:szCs w:val="22"/>
        </w:rPr>
        <w:t xml:space="preserve">Long-term losses offset long-term gains first (taxed at LTCG rates), then short-term gains</w:t>
      </w:r>
    </w:p>
    <w:p>
      <w:pPr>
        <w:pStyle w:val="ListParagraph"/>
        <w:numPr>
          <w:ilvl w:val="0"/>
          <w:numId w:val="2"/>
        </w:numPr>
        <w:spacing w:before="40" w:after="40"/>
      </w:pPr>
      <w:r>
        <w:rPr>
          <w:rFonts w:ascii="Arial" w:cs="Arial" w:eastAsia="Arial" w:hAnsi="Arial"/>
          <w:sz w:val="22"/>
          <w:szCs w:val="22"/>
        </w:rPr>
        <w:t xml:space="preserve">Net capital loss carryforward: up to $3,000 of net losses can offset ordinary income per year; remainder carries forward</w:t>
      </w:r>
    </w:p>
    <w:p>
      <w:pPr>
        <w:pStyle w:val="ListParagraph"/>
        <w:numPr>
          <w:ilvl w:val="0"/>
          <w:numId w:val="2"/>
        </w:numPr>
        <w:spacing w:before="40" w:after="40"/>
      </w:pPr>
      <w:r>
        <w:rPr>
          <w:rFonts w:ascii="Arial" w:cs="Arial" w:eastAsia="Arial" w:hAnsi="Arial"/>
          <w:sz w:val="22"/>
          <w:szCs w:val="22"/>
        </w:rPr>
        <w:t xml:space="preserve">NIIT: 3.8% Net Investment Income Tax applies above $200,000 (single) / $250,000 (MFJ). Harvesting losses reduces NIIT exposure for high-income clients.</w:t>
      </w:r>
    </w:p>
    <w:p>
      <w:pPr>
        <w:spacing w:before="0" w:after="120"/>
      </w:pPr>
      <w:r>
        <w:t xml:space="preserve"/>
      </w:r>
    </w:p>
    <w:p>
      <w:pPr>
        <w:pStyle w:val="Heading3"/>
        <w:spacing w:before="200" w:after="60"/>
      </w:pPr>
      <w:r>
        <w:rPr>
          <w:rFonts w:ascii="Arial" w:cs="Arial" w:eastAsia="Arial" w:hAnsi="Arial"/>
          <w:b/>
          <w:bCs/>
          <w:color w:val="404040"/>
          <w:sz w:val="24"/>
          <w:szCs w:val="24"/>
        </w:rPr>
        <w:t xml:space="preserve">5.1.3 Asset Location Logic</w:t>
      </w:r>
    </w:p>
    <w:p>
      <w:pPr>
        <w:pStyle w:val="ListParagraph"/>
        <w:numPr>
          <w:ilvl w:val="0"/>
          <w:numId w:val="2"/>
        </w:numPr>
        <w:spacing w:before="40" w:after="40"/>
      </w:pPr>
      <w:r>
        <w:rPr>
          <w:rFonts w:ascii="Arial" w:cs="Arial" w:eastAsia="Arial" w:hAnsi="Arial"/>
          <w:sz w:val="22"/>
          <w:szCs w:val="22"/>
        </w:rPr>
        <w:t xml:space="preserve">Tax-inefficient assets (high-yield bonds, REITs, actively managed funds with high turnover) belong in tax-advantaged accounts (traditional IRA or 401k)</w:t>
      </w:r>
    </w:p>
    <w:p>
      <w:pPr>
        <w:pStyle w:val="ListParagraph"/>
        <w:numPr>
          <w:ilvl w:val="0"/>
          <w:numId w:val="2"/>
        </w:numPr>
        <w:spacing w:before="40" w:after="40"/>
      </w:pPr>
      <w:r>
        <w:rPr>
          <w:rFonts w:ascii="Arial" w:cs="Arial" w:eastAsia="Arial" w:hAnsi="Arial"/>
          <w:sz w:val="22"/>
          <w:szCs w:val="22"/>
        </w:rPr>
        <w:t xml:space="preserve">Tax-efficient assets (index ETFs, buy-and-hold equities) are appropriate in taxable accounts</w:t>
      </w:r>
    </w:p>
    <w:p>
      <w:pPr>
        <w:pStyle w:val="ListParagraph"/>
        <w:numPr>
          <w:ilvl w:val="0"/>
          <w:numId w:val="2"/>
        </w:numPr>
        <w:spacing w:before="40" w:after="40"/>
      </w:pPr>
      <w:r>
        <w:rPr>
          <w:rFonts w:ascii="Arial" w:cs="Arial" w:eastAsia="Arial" w:hAnsi="Arial"/>
          <w:sz w:val="22"/>
          <w:szCs w:val="22"/>
        </w:rPr>
        <w:t xml:space="preserve">Assets with highest expected growth belong in Roth accounts — tax-free compounding is most valuable on high-growth assets</w:t>
      </w:r>
    </w:p>
    <w:p>
      <w:pPr>
        <w:pStyle w:val="ListParagraph"/>
        <w:numPr>
          <w:ilvl w:val="0"/>
          <w:numId w:val="2"/>
        </w:numPr>
        <w:spacing w:before="40" w:after="40"/>
      </w:pPr>
      <w:r>
        <w:rPr>
          <w:rFonts w:ascii="Arial" w:cs="Arial" w:eastAsia="Arial" w:hAnsi="Arial"/>
          <w:sz w:val="22"/>
          <w:szCs w:val="22"/>
        </w:rPr>
        <w:t xml:space="preserve">Dividend-paying stocks in Roth shelter distributions from tax permanently</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5.2 Confidence Output Requirements</w:t>
      </w:r>
    </w:p>
    <w:p>
      <w:pPr>
        <w:spacing w:before="60" w:after="80"/>
      </w:pPr>
      <w:r>
        <w:rPr>
          <w:rFonts w:ascii="Arial" w:cs="Arial" w:eastAsia="Arial" w:hAnsi="Arial"/>
          <w:color w:val="000000"/>
          <w:sz w:val="22"/>
          <w:szCs w:val="22"/>
        </w:rPr>
        <w:t xml:space="preserve">Every reasoning step must output a confidence score for its conclusions, not just a recommendation. The confidence score reflects how complete the input data was and how unambiguous the conclusions are. Steps operating with missing Soft Required fields must note this in their output and reduce their confidence score accordingly.</w:t>
      </w:r>
    </w:p>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6.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1440"/>
        <w:gridCol w:w="1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Extraction Foundation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 extractor with confidence scoring and validation gate. Test against 20+ real (redacted) 1040s across multiple tax years.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&gt;=92% field accuracy on 1040 test corpus. Gate logic blocks correctly when confidence is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Extraction Expansion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Brokerage statement extractor (Fidelity, Schwab, Vanguard priority). IRA and 401k statement extractors. Cross-document validation logic.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4-6</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&gt;=88% field accuracy on brokerage statements. Cross-document consistency checks catch injected contradictions in test fixtures.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Snapshot Assembly &amp; Gates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snapshot assembly pipeline. Confidence gate review UI. Income projection table UI. Snapshot storage and provenance tracking.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7-8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upload 3 documents, clear gates, fill income table, snapshot assembled correctly.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Reasoning Engine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4 reasoning steps. Test against 10 synthetic client scenarios with known correct answers. CPA review of tax logic.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9-11</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Tax logic validated by CPA. Conversion recommendations match manual calculations within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Report &amp; UI Polish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report generation. Full advisor workflow UI. Plan viewer with intermediate reasoning display.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generates correctly. Advisor can complete full workflow without engineering support.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 Advisor Pilot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advisor firms. Real client data (with consent). Structured feedback collection.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13-16</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 Promoter Score &gt;=40 from pilot advisors. Extraction accuracy holds on real documents.</w:t>
            </w:r>
          </w:p>
        </w:tc>
      </w:tr>
    </w:tbl>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7. Repository Structure</w:t>
      </w:r>
    </w:p>
    <w:p>
      <w:pPr>
        <w:spacing w:before="60" w:after="80"/>
      </w:pPr>
      <w:r>
        <w:rPr>
          <w:rFonts w:ascii="Arial" w:cs="Arial" w:eastAsia="Arial" w:hAnsi="Arial"/>
          <w:color w:val="000000"/>
          <w:sz w:val="22"/>
          <w:szCs w:val="22"/>
        </w:rPr>
        <w:t xml:space="preserve">The codebase is organized to separate concerns cleanly. Prompts are versioned independently from application code — this is intentional, as prompt tuning should be trackable separately from feature changes.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backend/api/routes/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documents.py, snapshots.py, plans.py, reports.py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backend/extraction/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classifier.py, validator.py, extractors/ (one file per document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backend/reasoning/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tax_trajectory.py, conversion_optimizer.py, tlh_advisor.py, plan_synthesizer.py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backend/gates/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confidence_gate.py — threshold configuration and gate evaluation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backend/models/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models for snapshot, plan, document, extraction result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backend/reports/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generator.py — HTML template population and WeasyPrint PDF conversion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 upload/, review/, income-table/, plan/ — advisor workflow screens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classify.txt, extract_1040.txt, extract_brokerage.txt, tax_trajectory.txt, conversion_optimizer.txt, plan_synthesizer.txt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tests/fixtures/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test documents (redacted) for extraction accuracy testing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test_extraction.py, test_reasoning.py, test_gates.py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ARCHITECTURE.md, TAX_LOGIC.md (CPA-reviewed tax rules documented here)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6"/>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Important: TAX_LOGIC.md</w:t>
            </w:r>
          </w:p>
          <w:p>
            <w:pPr>
              <w:spacing w:before="60"/>
            </w:pPr>
            <w:r>
              <w:rPr>
                <w:rFonts w:ascii="Arial" w:cs="Arial" w:eastAsia="Arial" w:hAnsi="Arial"/>
                <w:color w:val="000000"/>
                <w:sz w:val="20"/>
                <w:szCs w:val="20"/>
              </w:rPr>
              <w:t xml:space="preserve">The TAX_LOGIC.md file in /docs is the canonical source for all tax rules encoded in the reasoning engine. It should be reviewed and signed off by a CPA before Phase 4 begins, and updated whenever tax law changes (annual IRMAA thresholds, bracket adjustments, etc.). The reasoning engine prompts reference this document's logic — if the logic changes, the prompts must be updated to match.</w:t>
            </w:r>
          </w:p>
        </w:tc>
      </w:tr>
    </w:tbl>
    <w:p>
      <w:pPr>
        <w:spacing w:before="0" w:after="120"/>
      </w:pPr>
      <w:r>
        <w:t xml:space="preserve"/>
      </w:r>
    </w:p>
    <w:p>
      <w:r>
        <w:br/>
      </w:r>
    </w:p>
    <w:p>
      <w:pPr>
        <w:pStyle w:val="Heading1"/>
        <w:pBdr>
          <w:bottom w:val="single" w:color="2E75B6" w:sz="6" w:space="6"/>
        </w:pBdr>
        <w:spacing w:before="360" w:after="120"/>
      </w:pPr>
      <w:r>
        <w:rPr>
          <w:rFonts w:ascii="Arial" w:cs="Arial" w:eastAsia="Arial" w:hAnsi="Arial"/>
          <w:b/>
          <w:bCs/>
          <w:color w:val="1F4E79"/>
          <w:sz w:val="32"/>
          <w:szCs w:val="32"/>
        </w:rPr>
        <w:t xml:space="preserve">8. Open Questions &amp; Future Considerations</w:t>
      </w:r>
    </w:p>
    <w:p>
      <w:pPr>
        <w:pStyle w:val="Heading2"/>
        <w:spacing w:before="280" w:after="80"/>
      </w:pPr>
      <w:r>
        <w:rPr>
          <w:rFonts w:ascii="Arial" w:cs="Arial" w:eastAsia="Arial" w:hAnsi="Arial"/>
          <w:b/>
          <w:bCs/>
          <w:color w:val="2E75B6"/>
          <w:sz w:val="26"/>
          <w:szCs w:val="26"/>
        </w:rPr>
        <w:t xml:space="preserve">8.1 Deferred to V2</w:t>
      </w:r>
    </w:p>
    <w:p>
      <w:pPr>
        <w:pStyle w:val="ListParagraph"/>
        <w:numPr>
          <w:ilvl w:val="0"/>
          <w:numId w:val="2"/>
        </w:numPr>
        <w:spacing w:before="40" w:after="40"/>
      </w:pPr>
      <w:r>
        <w:rPr>
          <w:rFonts w:ascii="Arial" w:cs="Arial" w:eastAsia="Arial" w:hAnsi="Arial"/>
          <w:sz w:val="22"/>
          <w:szCs w:val="22"/>
        </w:rPr>
        <w:t xml:space="preserve">Multi-advisor firm support — firm admin role, shared client access within a firm</w:t>
      </w:r>
    </w:p>
    <w:p>
      <w:pPr>
        <w:pStyle w:val="ListParagraph"/>
        <w:numPr>
          <w:ilvl w:val="0"/>
          <w:numId w:val="2"/>
        </w:numPr>
        <w:spacing w:before="40" w:after="40"/>
      </w:pPr>
      <w:r>
        <w:rPr>
          <w:rFonts w:ascii="Arial" w:cs="Arial" w:eastAsia="Arial" w:hAnsi="Arial"/>
          <w:sz w:val="22"/>
          <w:szCs w:val="22"/>
        </w:rPr>
        <w:t xml:space="preserve">Annual document refresh workflow — detect what changed year-over-year and update the plan</w:t>
      </w:r>
    </w:p>
    <w:p>
      <w:pPr>
        <w:pStyle w:val="ListParagraph"/>
        <w:numPr>
          <w:ilvl w:val="0"/>
          <w:numId w:val="2"/>
        </w:numPr>
        <w:spacing w:before="40" w:after="40"/>
      </w:pPr>
      <w:r>
        <w:rPr>
          <w:rFonts w:ascii="Arial" w:cs="Arial" w:eastAsia="Arial" w:hAnsi="Arial"/>
          <w:sz w:val="22"/>
          <w:szCs w:val="22"/>
        </w:rPr>
        <w:t xml:space="preserve">Live account connectivity via Plaid or similar — reduce document upload friction</w:t>
      </w:r>
    </w:p>
    <w:p>
      <w:pPr>
        <w:pStyle w:val="ListParagraph"/>
        <w:numPr>
          <w:ilvl w:val="0"/>
          <w:numId w:val="2"/>
        </w:numPr>
        <w:spacing w:before="40" w:after="40"/>
      </w:pPr>
      <w:r>
        <w:rPr>
          <w:rFonts w:ascii="Arial" w:cs="Arial" w:eastAsia="Arial" w:hAnsi="Arial"/>
          <w:sz w:val="22"/>
          <w:szCs w:val="22"/>
        </w:rPr>
        <w:t xml:space="preserve">Consumer-facing version — direct-to-client product with advisor referral channel</w:t>
      </w:r>
    </w:p>
    <w:p>
      <w:pPr>
        <w:pStyle w:val="ListParagraph"/>
        <w:numPr>
          <w:ilvl w:val="0"/>
          <w:numId w:val="2"/>
        </w:numPr>
        <w:spacing w:before="40" w:after="40"/>
      </w:pPr>
      <w:r>
        <w:rPr>
          <w:rFonts w:ascii="Arial" w:cs="Arial" w:eastAsia="Arial" w:hAnsi="Arial"/>
          <w:sz w:val="22"/>
          <w:szCs w:val="22"/>
        </w:rPr>
        <w:t xml:space="preserve">Monte Carlo simulation — probability distribution on retirement outcomes</w:t>
      </w:r>
    </w:p>
    <w:p>
      <w:pPr>
        <w:pStyle w:val="ListParagraph"/>
        <w:numPr>
          <w:ilvl w:val="0"/>
          <w:numId w:val="2"/>
        </w:numPr>
        <w:spacing w:before="40" w:after="40"/>
      </w:pPr>
      <w:r>
        <w:rPr>
          <w:rFonts w:ascii="Arial" w:cs="Arial" w:eastAsia="Arial" w:hAnsi="Arial"/>
          <w:sz w:val="22"/>
          <w:szCs w:val="22"/>
        </w:rPr>
        <w:t xml:space="preserve">Estate planning integration — Roth conversion math for bequest optimization</w:t>
      </w:r>
    </w:p>
    <w:p>
      <w:pPr>
        <w:pStyle w:val="ListParagraph"/>
        <w:numPr>
          <w:ilvl w:val="0"/>
          <w:numId w:val="2"/>
        </w:numPr>
        <w:spacing w:before="40" w:after="40"/>
      </w:pPr>
      <w:r>
        <w:rPr>
          <w:rFonts w:ascii="Arial" w:cs="Arial" w:eastAsia="Arial" w:hAnsi="Arial"/>
          <w:sz w:val="22"/>
          <w:szCs w:val="22"/>
        </w:rPr>
        <w:t xml:space="preserve">CRM integrations — push plan data to Salesforce, Redtail, Wealthbox</w:t>
      </w:r>
    </w:p>
    <w:p>
      <w:pPr>
        <w:pStyle w:val="ListParagraph"/>
        <w:numPr>
          <w:ilvl w:val="0"/>
          <w:numId w:val="2"/>
        </w:numPr>
        <w:spacing w:before="40" w:after="40"/>
      </w:pPr>
      <w:r>
        <w:rPr>
          <w:rFonts w:ascii="Arial" w:cs="Arial" w:eastAsia="Arial" w:hAnsi="Arial"/>
          <w:sz w:val="22"/>
          <w:szCs w:val="22"/>
        </w:rPr>
        <w:t xml:space="preserve">White-label / multi-tenant — rebrand for enterprise RIA firm deployments</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8.2 Regulatory Considerations</w:t>
      </w:r>
    </w:p>
    <w:p>
      <w:pPr>
        <w:spacing w:before="60" w:after="80"/>
      </w:pPr>
      <w:r>
        <w:rPr>
          <w:rFonts w:ascii="Arial" w:cs="Arial" w:eastAsia="Arial" w:hAnsi="Arial"/>
          <w:color w:val="000000"/>
          <w:sz w:val="22"/>
          <w:szCs w:val="22"/>
        </w:rPr>
        <w:t xml:space="preserve">TaxWise Advisor is positioned as a software tool, not a financial advisor. Advisors using the platform retain full professional responsibility for recommendations made to their clients. Key principles:</w:t>
      </w:r>
    </w:p>
    <w:p>
      <w:pPr>
        <w:pStyle w:val="ListParagraph"/>
        <w:numPr>
          <w:ilvl w:val="0"/>
          <w:numId w:val="2"/>
        </w:numPr>
        <w:spacing w:before="40" w:after="40"/>
      </w:pPr>
      <w:r>
        <w:rPr>
          <w:rFonts w:ascii="Arial" w:cs="Arial" w:eastAsia="Arial" w:hAnsi="Arial"/>
          <w:sz w:val="22"/>
          <w:szCs w:val="22"/>
        </w:rPr>
        <w:t xml:space="preserve">Every generated report includes a disclaimer stating the report is prepared by the advisor using software tools and does not constitute independent financial advice.</w:t>
      </w:r>
    </w:p>
    <w:p>
      <w:pPr>
        <w:pStyle w:val="ListParagraph"/>
        <w:numPr>
          <w:ilvl w:val="0"/>
          <w:numId w:val="2"/>
        </w:numPr>
        <w:spacing w:before="40" w:after="40"/>
      </w:pPr>
      <w:r>
        <w:rPr>
          <w:rFonts w:ascii="Arial" w:cs="Arial" w:eastAsia="Arial" w:hAnsi="Arial"/>
          <w:sz w:val="22"/>
          <w:szCs w:val="22"/>
        </w:rPr>
        <w:t xml:space="preserve">The platform does not hold, move, or custody any client assets.</w:t>
      </w:r>
    </w:p>
    <w:p>
      <w:pPr>
        <w:pStyle w:val="ListParagraph"/>
        <w:numPr>
          <w:ilvl w:val="0"/>
          <w:numId w:val="2"/>
        </w:numPr>
        <w:spacing w:before="40" w:after="40"/>
      </w:pPr>
      <w:r>
        <w:rPr>
          <w:rFonts w:ascii="Arial" w:cs="Arial" w:eastAsia="Arial" w:hAnsi="Arial"/>
          <w:sz w:val="22"/>
          <w:szCs w:val="22"/>
        </w:rPr>
        <w:t xml:space="preserve">The platform does not execute trades or conversions — it produces recommendations that advisors act on.</w:t>
      </w:r>
    </w:p>
    <w:p>
      <w:pPr>
        <w:pStyle w:val="ListParagraph"/>
        <w:numPr>
          <w:ilvl w:val="0"/>
          <w:numId w:val="2"/>
        </w:numPr>
        <w:spacing w:before="40" w:after="40"/>
      </w:pPr>
      <w:r>
        <w:rPr>
          <w:rFonts w:ascii="Arial" w:cs="Arial" w:eastAsia="Arial" w:hAnsi="Arial"/>
          <w:sz w:val="22"/>
          <w:szCs w:val="22"/>
        </w:rPr>
        <w:t xml:space="preserve">Legal review of terms of service and report disclaimers is recommended before public launch.</w:t>
      </w:r>
    </w:p>
    <w:p>
      <w:pPr>
        <w:pStyle w:val="ListParagraph"/>
        <w:numPr>
          <w:ilvl w:val="0"/>
          <w:numId w:val="2"/>
        </w:numPr>
        <w:spacing w:before="40" w:after="40"/>
      </w:pPr>
      <w:r>
        <w:rPr>
          <w:rFonts w:ascii="Arial" w:cs="Arial" w:eastAsia="Arial" w:hAnsi="Arial"/>
          <w:sz w:val="22"/>
          <w:szCs w:val="22"/>
        </w:rPr>
        <w:t xml:space="preserve">SOC 2 Type II certification should be pursued for the first enterprise sales cycle — advisors handling client PII will ask for it.</w:t>
      </w:r>
    </w:p>
    <w:p>
      <w:pPr>
        <w:spacing w:before="0" w:after="120"/>
      </w:pPr>
      <w:r>
        <w:t xml:space="preserve"/>
      </w:r>
    </w:p>
    <w:p>
      <w:pPr>
        <w:pStyle w:val="Heading2"/>
        <w:spacing w:before="280" w:after="80"/>
      </w:pPr>
      <w:r>
        <w:rPr>
          <w:rFonts w:ascii="Arial" w:cs="Arial" w:eastAsia="Arial" w:hAnsi="Arial"/>
          <w:b/>
          <w:bCs/>
          <w:color w:val="2E75B6"/>
          <w:sz w:val="26"/>
          <w:szCs w:val="26"/>
        </w:rPr>
        <w:t xml:space="preserve">8.3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396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Extraction accuracy insufficient on real documents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extraction spike on 20+ real documents before building reasoning layer. Do not proceed if accuracy &lt; 88%.</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Tax logic errors in reasoning engine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CPA review of all tax rules before pilot. Test against 10 known-correct scenarios.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hallucination on financial figures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gates and deterministic validation checks. Never silently pass a low-confidence number.</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Advisors don't trust AI-generated analysis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Surface all intermediate reasoning. Make assumptions explicit. Advisor confirms everything before client sees it.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Brokerage statement format variation too 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Institution-specific parser variants for top 5 brokerages (Fidelity, Schwab, Vanguard, Merrill, TD).</w:t>
            </w:r>
          </w:p>
        </w:tc>
      </w:tr>
    </w:tbl>
    <w:p>
      <w:pPr>
        <w:spacing w:before="0" w:after="120"/>
      </w:pPr>
      <w:r>
        <w:t xml:space="preserve"/>
      </w:r>
    </w:p>
    <w:p>
      <w:r>
        <w:br/>
      </w:r>
    </w:p>
    <w:p>
      <w:pPr>
        <w:spacing w:before="2000" w:after="80"/>
        <w:jc w:val="center"/>
      </w:pPr>
      <w:r>
        <w:rPr>
          <w:rFonts w:ascii="Arial" w:cs="Arial" w:eastAsia="Arial" w:hAnsi="Arial"/>
          <w:i/>
          <w:iCs/>
          <w:color w:val="888888"/>
          <w:sz w:val="22"/>
          <w:szCs w:val="22"/>
        </w:rPr>
        <w:t xml:space="preserve">— End of Document —</w:t>
      </w:r>
    </w:p>
    <w:p>
      <w:pPr>
        <w:spacing w:before="0" w:after="80"/>
        <w:jc w:val="center"/>
      </w:pPr>
      <w:r>
        <w:rPr>
          <w:rFonts w:ascii="Arial" w:cs="Arial" w:eastAsia="Arial" w:hAnsi="Arial"/>
          <w:color w:val="AAAAAA"/>
          <w:sz w:val="20"/>
          <w:szCs w:val="20"/>
        </w:rPr>
        <w:t xml:space="preserve">TaxWise Advisor v1.0 PRD | Confidential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before="120"/>
    </w:pPr>
    <w:r>
      <w:rPr>
        <w:rFonts w:ascii="Arial" w:cs="Arial" w:eastAsia="Arial" w:hAnsi="Arial"/>
        <w:color w:val="888888"/>
        <w:sz w:val="18"/>
        <w:szCs w:val="18"/>
      </w:rPr>
      <w:t xml:space="preserve">TaxWise Advisor — Product Requirements &amp; Architecture</w:t>
    </w:r>
    <w:r>
      <w:rPr>
        <w:rFonts w:ascii="Arial" w:cs="Arial" w:eastAsia="Arial" w:hAnsi="Arial"/>
        <w:color w:val="AAAAAA"/>
        <w:sz w:val="18"/>
        <w:szCs w:val="18"/>
      </w:rPr>
      <w:t xml:space="preserve">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2026-03-17T19:22:55.931Z</dcterms:created>
  <dcterms:modified xsi:type="dcterms:W3CDTF">2026-03-17T19:22:55.932Z</dcterms:modified>
</cp:coreProperties>
</file>

<file path=docProps/custom.xml><?xml version="1.0" encoding="utf-8"?>
<Properties xmlns="http://schemas.openxmlformats.org/officeDocument/2006/custom-properties" xmlns:vt="http://schemas.openxmlformats.org/officeDocument/2006/docPropsVTypes"/>
</file>