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¿De qué hablamos cuando hablamos de géneros?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color w:val="222222"/>
          <w:rtl w:val="0"/>
        </w:rPr>
        <w:t xml:space="preserve">Glosario sobre identidades de géneros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https://www.unfe.org/es/definitions/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¿Qué es un lenguaje inclusivo al género?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color w:val="222222"/>
          <w:rtl w:val="0"/>
        </w:rPr>
        <w:t xml:space="preserve">Guia para el uso de un lenguaje inclusivo al género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https://www.unwomen.org/-/media/headquarters/attachments/sections/library/gender-inclusive%20language/guidelines-on-gender-inclusive-language-es.pdf?la=en&amp;vs=905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¿Qué es la igualdad de género?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r w:rsidDel="00000000" w:rsidR="00000000" w:rsidRPr="00000000">
        <w:rPr>
          <w:color w:val="222222"/>
          <w:rtl w:val="0"/>
        </w:rPr>
        <w:t xml:space="preserve">Glosario de igualdad de género onu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Arial" w:cs="Arial" w:eastAsia="Arial" w:hAnsi="Arial"/>
          <w:color w:val="222222"/>
          <w:sz w:val="21"/>
          <w:szCs w:val="21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https://trainingcentre.unwomen.org/mod/glossary/view.php?id=150&amp;mode=letter&amp;hook=ALL&amp;sortkey&amp;sortorder=asc&amp;fullsearch=0&amp;page=2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6800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8004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iningcentre.unwomen.org/mod/glossary/view.php?id=150&amp;mode=letter&amp;hook=ALL&amp;sortkey&amp;sortorder=asc&amp;fullsearch=0&amp;page=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nfe.org/es/definitions/" TargetMode="External"/><Relationship Id="rId8" Type="http://schemas.openxmlformats.org/officeDocument/2006/relationships/hyperlink" Target="https://www.unwomen.org/-/media/headquarters/attachments/sections/library/gender-inclusive%20language/guidelines-on-gender-inclusive-language-es.pdf?la=en&amp;vs=90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8B3FIb2fNhrRCJBzU620BMHQwg==">AMUW2mWO8SccBMQbF6BdvBD1xqCtTNPWfFoAz7+90oxaBgeS3/H1gtIkvKD9uPgAlfxqzqEfRvxrp0q8KMTI3H+Wi3W9OiKOFN95OW1MqfhqAgigUxWY9CA=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2020-10-01T18:11:00Z</dcterms:created>
  <dc:creator>MENSAJERIA Y GESTION DE TRAMITES</dc:creator>
</cp:coreProperties>
</file>