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100"/>
        <w:jc w:val="center"/>
      </w:pPr>
      <w:r>
        <w:rPr>
          <w:rFonts w:ascii="Calibri" w:cs="Calibri" w:eastAsia="Calibri" w:hAnsi="Calibri"/>
          <w:b/>
          <w:bCs/>
          <w:color w:val="3B2E86"/>
          <w:sz w:val="46"/>
          <w:szCs w:val="46"/>
        </w:rPr>
        <w:t xml:space="preserve">Autonomous Multi-Agent Framework</w:t>
      </w:r>
    </w:p>
    <w:p>
      <w:pPr>
        <w:spacing w:after="300"/>
        <w:jc w:val="center"/>
      </w:pPr>
      <w:r>
        <w:rPr>
          <w:rFonts w:ascii="Calibri" w:cs="Calibri" w:eastAsia="Calibri" w:hAnsi="Calibri"/>
          <w:b/>
          <w:bCs/>
          <w:color w:val="3B2E86"/>
          <w:sz w:val="30"/>
          <w:szCs w:val="30"/>
        </w:rPr>
        <w:t xml:space="preserve">for Personal Finance Management and Tax Optimisation</w:t>
      </w:r>
    </w:p>
    <w:p>
      <w:pPr>
        <w:spacing w:after="420"/>
        <w:jc w:val="center"/>
      </w:pPr>
      <w:r>
        <w:rPr>
          <w:rFonts w:ascii="Calibri" w:cs="Calibri" w:eastAsia="Calibri" w:hAnsi="Calibri"/>
          <w:i/>
          <w:iCs/>
          <w:color w:val="555566"/>
          <w:sz w:val="21"/>
          <w:szCs w:val="21"/>
        </w:rPr>
        <w:t xml:space="preserve">Technical Reference  ·  Indian personal income tax  ·  FY 2025-26 (AY 2026-27)</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50"/>
              <w:left w:type="dxa" w:w="190"/>
              <w:bottom w:type="dxa" w:w="150"/>
              <w:right w:type="dxa" w:w="190"/>
            </w:tcMar>
          </w:tcPr>
          <w:p>
            <w:pPr>
              <w:spacing w:after="0" w:line="276"/>
            </w:pPr>
            <w:r>
              <w:rPr>
                <w:rFonts w:ascii="Calibri" w:cs="Calibri" w:eastAsia="Calibri" w:hAnsi="Calibri"/>
                <w:b/>
                <w:bCs/>
                <w:color w:val="1A1A2E"/>
                <w:sz w:val="21"/>
                <w:szCs w:val="21"/>
              </w:rPr>
              <w:t xml:space="preserve">In one paragraph. </w:t>
            </w:r>
            <w:r>
              <w:rPr>
                <w:rFonts w:ascii="Calibri" w:cs="Calibri" w:eastAsia="Calibri" w:hAnsi="Calibri"/>
                <w:color w:val="1A1A2E"/>
                <w:sz w:val="21"/>
                <w:szCs w:val="21"/>
              </w:rPr>
              <w:t xml:space="preserve">This is a web tool that works out how much income tax you owe in India, tells you how to legally pay less, and shows you the answer as charts. Behind it, four specialised software agents each do one job and pass their results along a fixed order. Claude is used only to read a plain-English description of your finances and fill in the form; it never calculates anything. Every rupee figure comes from a deterministic engine that implements the Income-tax Act directly, and 220 automated tests check it.</w:t>
            </w:r>
          </w:p>
        </w:tc>
      </w:tr>
    </w:tbl>
    <w:p>
      <w:r>
        <w:br w:type="page"/>
      </w:r>
    </w:p>
    <w:p>
      <w:pPr>
        <w:pStyle w:val="Heading1"/>
        <w:spacing w:after="150" w:before="340"/>
      </w:pPr>
      <w:r>
        <w:rPr>
          <w:rFonts w:ascii="Calibri" w:cs="Calibri" w:eastAsia="Calibri" w:hAnsi="Calibri"/>
          <w:b/>
          <w:bCs/>
          <w:color w:val="3B2E86"/>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color w:val="1A1A2E"/>
          <w:sz w:val="21"/>
          <w:szCs w:val="21"/>
        </w:rPr>
        <w:t xml:space="preserve"/>
      </w:r>
    </w:p>
    <w:p>
      <w:pPr>
        <w:spacing w:after="120" w:line="276"/>
      </w:pPr>
      <w:r>
        <w:rPr>
          <w:rFonts w:ascii="Calibri" w:cs="Calibri" w:eastAsia="Calibri" w:hAnsi="Calibri"/>
          <w:i/>
          <w:iCs/>
          <w:color w:val="555566"/>
          <w:sz w:val="21"/>
          <w:szCs w:val="21"/>
        </w:rPr>
        <w:t xml:space="preserve">New to the project? Read Section 8 first — it explains the whole thing in plain words with no jargon. Sections 1 to 6 are the technical detail, and Section 7 is a question bank for the viva.</w:t>
      </w:r>
    </w:p>
    <w:p>
      <w:r>
        <w:br w:type="page"/>
      </w:r>
    </w:p>
    <w:p>
      <w:pPr>
        <w:pStyle w:val="Heading1"/>
        <w:spacing w:after="150" w:before="340"/>
      </w:pPr>
      <w:r>
        <w:rPr>
          <w:rFonts w:ascii="Calibri" w:cs="Calibri" w:eastAsia="Calibri" w:hAnsi="Calibri"/>
          <w:b/>
          <w:bCs/>
          <w:color w:val="3B2E86"/>
          <w:sz w:val="30"/>
          <w:szCs w:val="30"/>
        </w:rPr>
        <w:t xml:space="preserve">1.  What agents are used, and how they work</w:t>
      </w:r>
    </w:p>
    <w:p>
      <w:pPr>
        <w:pStyle w:val="Heading2"/>
        <w:spacing w:after="100" w:before="250"/>
      </w:pPr>
      <w:r>
        <w:rPr>
          <w:rFonts w:ascii="Calibri" w:cs="Calibri" w:eastAsia="Calibri" w:hAnsi="Calibri"/>
          <w:b/>
          <w:bCs/>
          <w:color w:val="1A1A2E"/>
          <w:sz w:val="23"/>
          <w:szCs w:val="23"/>
        </w:rPr>
        <w:t xml:space="preserve">First: what "agent" means here</w:t>
      </w:r>
    </w:p>
    <w:p>
      <w:pPr>
        <w:spacing w:after="120" w:line="276"/>
      </w:pPr>
      <w:r>
        <w:rPr>
          <w:rFonts w:ascii="Calibri" w:cs="Calibri" w:eastAsia="Calibri" w:hAnsi="Calibri"/>
          <w:color w:val="1A1A2E"/>
          <w:sz w:val="21"/>
          <w:szCs w:val="21"/>
        </w:rPr>
        <w:t xml:space="preserve">The word "agent" is used in two very different ways today, so it is worth being exact.</w:t>
      </w:r>
    </w:p>
    <w:p>
      <w:pPr>
        <w:pStyle w:val="ListParagraph"/>
        <w:numPr>
          <w:ilvl w:val="0"/>
          <w:numId w:val="2"/>
        </w:numPr>
        <w:spacing w:after="70" w:line="276"/>
      </w:pPr>
      <w:r>
        <w:rPr>
          <w:rFonts w:ascii="Calibri" w:cs="Calibri" w:eastAsia="Calibri" w:hAnsi="Calibri"/>
          <w:color w:val="1A1A2E"/>
          <w:sz w:val="21"/>
          <w:szCs w:val="21"/>
        </w:rPr>
        <w:t xml:space="preserve">An LLM agent is an AI model that decides its own steps and calls tools. Flexible, but it can be confidently wrong.</w:t>
      </w:r>
    </w:p>
    <w:p>
      <w:pPr>
        <w:pStyle w:val="ListParagraph"/>
        <w:numPr>
          <w:ilvl w:val="0"/>
          <w:numId w:val="2"/>
        </w:numPr>
        <w:spacing w:after="70" w:line="276"/>
      </w:pPr>
      <w:r>
        <w:rPr>
          <w:rFonts w:ascii="Calibri" w:cs="Calibri" w:eastAsia="Calibri" w:hAnsi="Calibri"/>
          <w:color w:val="1A1A2E"/>
          <w:sz w:val="21"/>
          <w:szCs w:val="21"/>
        </w:rPr>
        <w:t xml:space="preserve">A software agent, in the classical sense used by Wooldridge &amp; Jennings (1995), is an autonomous component with domain expertise, a defined input, a defined output, and rules it always follows. Predictable, and it can be tested.</w:t>
      </w:r>
    </w:p>
    <w:p>
      <w:pPr>
        <w:spacing w:after="120" w:line="276"/>
      </w:pPr>
      <w:r>
        <w:rPr>
          <w:rFonts w:ascii="Calibri" w:cs="Calibri" w:eastAsia="Calibri" w:hAnsi="Calibri"/>
          <w:b/>
          <w:bCs/>
          <w:color w:val="1A1A2E"/>
          <w:sz w:val="21"/>
          <w:szCs w:val="21"/>
        </w:rPr>
        <w:t xml:space="preserve">This project uses the second kind. None of the four agents calls a language model. </w:t>
      </w:r>
      <w:r>
        <w:rPr>
          <w:rFonts w:ascii="Calibri" w:cs="Calibri" w:eastAsia="Calibri" w:hAnsi="Calibri"/>
          <w:color w:val="1A1A2E"/>
          <w:sz w:val="21"/>
          <w:szCs w:val="21"/>
        </w:rPr>
        <w:t xml:space="preserve">That is a deliberate design decision, not a limitation: tax arithmetic produced by a language model is wrong at unpredictable moments, and a wrong tax figure delivered fluently is more dangerous than no tool at all.</w:t>
      </w:r>
    </w:p>
    <w:p>
      <w:pPr>
        <w:pStyle w:val="Heading2"/>
        <w:spacing w:after="100" w:before="250"/>
      </w:pPr>
      <w:r>
        <w:rPr>
          <w:rFonts w:ascii="Calibri" w:cs="Calibri" w:eastAsia="Calibri" w:hAnsi="Calibri"/>
          <w:b/>
          <w:bCs/>
          <w:color w:val="1A1A2E"/>
          <w:sz w:val="23"/>
          <w:szCs w:val="23"/>
        </w:rPr>
        <w:t xml:space="preserve">The four agents</w:t>
      </w:r>
    </w:p>
    <w:tbl>
      <w:tblPr>
        <w:tblW w:type="dxa" w:w="9360"/>
        <w:tblBorders>
          <w:top w:val="single" w:color="D9D9E3" w:sz="2"/>
          <w:left w:val="none" w:sz="0"/>
          <w:bottom w:val="single" w:color="D9D9E3" w:sz="2"/>
          <w:right w:val="none" w:sz="0"/>
          <w:insideH w:val="single" w:color="D9D9E3" w:sz="2"/>
          <w:insideV w:val="none" w:sz="0"/>
        </w:tblBorders>
      </w:tblPr>
      <w:tblGrid>
        <w:gridCol w:w="1900"/>
        <w:gridCol w:w="5560"/>
        <w:gridCol w:w="1900"/>
      </w:tblGrid>
      <w:tr>
        <w:trPr>
          <w:tblHeader/>
        </w:trPr>
        <w:tc>
          <w:tcPr>
            <w:tcW w:type="dxa" w:w="19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Agent</w:t>
            </w:r>
          </w:p>
        </w:tc>
        <w:tc>
          <w:tcPr>
            <w:tcW w:type="dxa" w:w="55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What it does</w:t>
            </w:r>
          </w:p>
        </w:tc>
        <w:tc>
          <w:tcPr>
            <w:tcW w:type="dxa" w:w="19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What it needs first</w:t>
            </w:r>
          </w:p>
        </w:tc>
      </w:tr>
      <w:tr>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Data Validation Agent</w:t>
            </w:r>
          </w:p>
        </w:tc>
        <w:tc>
          <w:tcPr>
            <w:tcW w:type="dxa" w:w="5560"/>
            <w:tcMar>
              <w:top w:type="dxa" w:w="85"/>
              <w:left w:type="dxa" w:w="130"/>
              <w:bottom w:type="dxa" w:w="85"/>
              <w:right w:type="dxa" w:w="130"/>
            </w:tcMar>
          </w:tcPr>
          <w:p>
            <w:pPr>
              <w:spacing w:after="0"/>
            </w:pPr>
            <w:r>
              <w:rPr>
                <w:rFonts w:ascii="Calibri" w:cs="Calibri" w:eastAsia="Calibri" w:hAnsi="Calibri"/>
                <w:color w:val="1A1A2E"/>
                <w:sz w:val="18"/>
                <w:szCs w:val="18"/>
              </w:rPr>
              <w:t xml:space="preserve">Cleans and checks the input. Turns every amount into a valid number, refuses negatives, and raises warnings for things that are legal but look like typing mistakes — such as receiving HRA while declaring no rent. It also measures how much of each deduction limit you have used.</w:t>
            </w:r>
          </w:p>
        </w:tc>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Nothing. Runs first.</w:t>
            </w:r>
          </w:p>
        </w:tc>
      </w:tr>
      <w:tr>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Tax Projection Agent</w:t>
            </w:r>
          </w:p>
        </w:tc>
        <w:tc>
          <w:tcPr>
            <w:tcW w:type="dxa" w:w="5560"/>
            <w:tcMar>
              <w:top w:type="dxa" w:w="85"/>
              <w:left w:type="dxa" w:w="130"/>
              <w:bottom w:type="dxa" w:w="85"/>
              <w:right w:type="dxa" w:w="130"/>
            </w:tcMar>
          </w:tcPr>
          <w:p>
            <w:pPr>
              <w:spacing w:after="0"/>
            </w:pPr>
            <w:r>
              <w:rPr>
                <w:rFonts w:ascii="Calibri" w:cs="Calibri" w:eastAsia="Calibri" w:hAnsi="Calibri"/>
                <w:color w:val="1A1A2E"/>
                <w:sz w:val="18"/>
                <w:szCs w:val="18"/>
              </w:rPr>
              <w:t xml:space="preserve">Computes what you owe, under BOTH the old and the new regime, using the ten-step scheme of the Income-tax Act. Also produces the advance tax instalment plan.</w:t>
            </w:r>
          </w:p>
        </w:tc>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Data Validation</w:t>
            </w:r>
          </w:p>
        </w:tc>
      </w:tr>
      <w:tr>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Scenario Analysis Agent</w:t>
            </w:r>
          </w:p>
        </w:tc>
        <w:tc>
          <w:tcPr>
            <w:tcW w:type="dxa" w:w="5560"/>
            <w:tcMar>
              <w:top w:type="dxa" w:w="85"/>
              <w:left w:type="dxa" w:w="130"/>
              <w:bottom w:type="dxa" w:w="85"/>
              <w:right w:type="dxa" w:w="130"/>
            </w:tcMar>
          </w:tcPr>
          <w:p>
            <w:pPr>
              <w:spacing w:after="0"/>
            </w:pPr>
            <w:r>
              <w:rPr>
                <w:rFonts w:ascii="Calibri" w:cs="Calibri" w:eastAsia="Calibri" w:hAnsi="Calibri"/>
                <w:color w:val="1A1A2E"/>
                <w:sz w:val="18"/>
                <w:szCs w:val="18"/>
              </w:rPr>
              <w:t xml:space="preserve">Models six "what-if" decisions — take a home loan, fill 80C, max out NPS, buy health cover, restructure salary into employer NPS, get a 20% raise — and reports what each would do to your tax.</w:t>
            </w:r>
          </w:p>
        </w:tc>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Data Validation, Tax Projection</w:t>
            </w:r>
          </w:p>
        </w:tc>
      </w:tr>
      <w:tr>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Tax Optimization Agent</w:t>
            </w:r>
          </w:p>
        </w:tc>
        <w:tc>
          <w:tcPr>
            <w:tcW w:type="dxa" w:w="5560"/>
            <w:tcMar>
              <w:top w:type="dxa" w:w="85"/>
              <w:left w:type="dxa" w:w="130"/>
              <w:bottom w:type="dxa" w:w="85"/>
              <w:right w:type="dxa" w:w="130"/>
            </w:tcMar>
          </w:tcPr>
          <w:p>
            <w:pPr>
              <w:spacing w:after="0"/>
            </w:pPr>
            <w:r>
              <w:rPr>
                <w:rFonts w:ascii="Calibri" w:cs="Calibri" w:eastAsia="Calibri" w:hAnsi="Calibri"/>
                <w:color w:val="1A1A2E"/>
                <w:sz w:val="18"/>
                <w:szCs w:val="18"/>
              </w:rPr>
              <w:t xml:space="preserve">Finds every deduction you could still claim, ranks them, and works out where a limited budget should actually go. Also decides which ITR form you need.</w:t>
            </w:r>
          </w:p>
        </w:tc>
        <w:tc>
          <w:tcPr>
            <w:tcW w:type="dxa" w:w="1900"/>
            <w:tcMar>
              <w:top w:type="dxa" w:w="85"/>
              <w:left w:type="dxa" w:w="130"/>
              <w:bottom w:type="dxa" w:w="85"/>
              <w:right w:type="dxa" w:w="130"/>
            </w:tcMar>
          </w:tcPr>
          <w:p>
            <w:pPr>
              <w:spacing w:after="0"/>
            </w:pPr>
            <w:r>
              <w:rPr>
                <w:rFonts w:ascii="Calibri" w:cs="Calibri" w:eastAsia="Calibri" w:hAnsi="Calibri"/>
                <w:color w:val="1A1A2E"/>
                <w:sz w:val="18"/>
                <w:szCs w:val="18"/>
              </w:rPr>
              <w:t xml:space="preserve">Data Validation, Tax Projection</w:t>
            </w:r>
          </w:p>
        </w:tc>
      </w:tr>
    </w:tbl>
    <w:p>
      <w:pPr>
        <w:pStyle w:val="Heading2"/>
        <w:spacing w:after="100" w:before="250"/>
      </w:pPr>
      <w:r>
        <w:rPr>
          <w:rFonts w:ascii="Calibri" w:cs="Calibri" w:eastAsia="Calibri" w:hAnsi="Calibri"/>
          <w:b/>
          <w:bCs/>
          <w:color w:val="1A1A2E"/>
          <w:sz w:val="23"/>
          <w:szCs w:val="23"/>
        </w:rPr>
        <w:t xml:space="preserve">How they work together — the orchestrator</w:t>
      </w:r>
    </w:p>
    <w:p>
      <w:pPr>
        <w:spacing w:after="120" w:line="276"/>
      </w:pPr>
      <w:r>
        <w:rPr>
          <w:rFonts w:ascii="Calibri" w:cs="Calibri" w:eastAsia="Calibri" w:hAnsi="Calibri"/>
          <w:color w:val="1A1A2E"/>
          <w:sz w:val="21"/>
          <w:szCs w:val="21"/>
        </w:rPr>
        <w:t xml:space="preserve">Each agent declares what it depends on. The orchestrator reads those declarations, sorts them into a valid running order using a standard topological sort (Kahn's algorithm), and then runs them one at a time, handing each agent the finished output of everything before it.</w:t>
      </w:r>
    </w:p>
    <w:p>
      <w:pPr>
        <w:spacing w:after="120" w:line="276"/>
      </w:pPr>
      <w:r>
        <w:rPr>
          <w:rFonts w:ascii="Calibri" w:cs="Calibri" w:eastAsia="Calibri" w:hAnsi="Calibri"/>
          <w:b/>
          <w:bCs/>
          <w:color w:val="1A1A2E"/>
          <w:sz w:val="21"/>
          <w:szCs w:val="21"/>
        </w:rPr>
        <w:t xml:space="preserve">The order is worked out, not hard-coded. </w:t>
      </w:r>
      <w:r>
        <w:rPr>
          <w:rFonts w:ascii="Calibri" w:cs="Calibri" w:eastAsia="Calibri" w:hAnsi="Calibri"/>
          <w:color w:val="1A1A2E"/>
          <w:sz w:val="21"/>
          <w:szCs w:val="21"/>
        </w:rPr>
        <w:t xml:space="preserve">If the dependencies ever formed a loop — A waits for B, B waits for A — the orchestrator refuses to run at all and says so, rather than freezing or producing half an answer.</w:t>
      </w:r>
    </w:p>
    <w:p>
      <w:pPr>
        <w:spacing w:after="120" w:line="276"/>
      </w:pPr>
      <w:r>
        <w:rPr>
          <w:rFonts w:ascii="Calibri" w:cs="Calibri" w:eastAsia="Calibri" w:hAnsi="Calibri"/>
          <w:color w:val="1A1A2E"/>
          <w:sz w:val="21"/>
          <w:szCs w:val="21"/>
        </w:rPr>
        <w:t xml:space="preserve">The agents also publish events as they go, on a simple publish–subscribe bus. Anything can subscribe. The "Agent pipeline" tab in the app subscribes to it and shows you the events the pipeline actually emitted on that run, along with how many milliseconds each agent took. It is the real trace, not a description written afterwards.</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50"/>
              <w:left w:type="dxa" w:w="190"/>
              <w:bottom w:type="dxa" w:w="150"/>
              <w:right w:type="dxa" w:w="190"/>
            </w:tcMar>
          </w:tcPr>
          <w:p>
            <w:pPr>
              <w:spacing w:after="0" w:line="276"/>
            </w:pPr>
            <w:r>
              <w:rPr>
                <w:rFonts w:ascii="Calibri" w:cs="Calibri" w:eastAsia="Calibri" w:hAnsi="Calibri"/>
                <w:b/>
                <w:bCs/>
                <w:color w:val="1A1A2E"/>
                <w:sz w:val="21"/>
                <w:szCs w:val="21"/>
              </w:rPr>
              <w:t xml:space="preserve">Why the agents do not do the maths themselves. </w:t>
            </w:r>
            <w:r>
              <w:rPr>
                <w:rFonts w:ascii="Calibri" w:cs="Calibri" w:eastAsia="Calibri" w:hAnsi="Calibri"/>
                <w:color w:val="1A1A2E"/>
                <w:sz w:val="21"/>
                <w:szCs w:val="21"/>
              </w:rPr>
              <w:t xml:space="preserve">Each agent wraps the existing computation modules rather than reimplementing them. The tax engine stays the single place where the law lives. An agent that recomputed tax itself would be a second copy of the Act, and two copies always drift apart.</w:t>
            </w:r>
          </w:p>
        </w:tc>
      </w:tr>
    </w:tbl>
    <w:p>
      <w:pPr>
        <w:spacing w:after="120" w:line="276"/>
      </w:pPr>
      <w:r>
        <w:rPr>
          <w:rFonts w:ascii="Calibri" w:cs="Calibri" w:eastAsia="Calibri" w:hAnsi="Calibri"/>
          <w:color w:val="1A1A2E"/>
          <w:sz w:val="21"/>
          <w:szCs w:val="21"/>
        </w:rPr>
        <w:t xml:space="preserve">A full run of all four agents takes about 30 milliseconds. The project requirement was three seconds.</w:t>
      </w:r>
    </w:p>
    <w:p>
      <w:pPr>
        <w:pBdr>
          <w:bottom w:val="single" w:color="D9D9E3" w:sz="6"/>
        </w:pBdr>
        <w:spacing w:after="180" w:before="60"/>
      </w:pPr>
      <w:r>
        <w:rPr>
          <w:sz w:val="2"/>
          <w:szCs w:val="2"/>
        </w:rPr>
        <w:t xml:space="preserve"/>
      </w:r>
    </w:p>
    <w:p>
      <w:pPr>
        <w:pStyle w:val="Heading1"/>
        <w:spacing w:after="150" w:before="340"/>
      </w:pPr>
      <w:r>
        <w:rPr>
          <w:rFonts w:ascii="Calibri" w:cs="Calibri" w:eastAsia="Calibri" w:hAnsi="Calibri"/>
          <w:b/>
          <w:bCs/>
          <w:color w:val="3B2E86"/>
          <w:sz w:val="30"/>
          <w:szCs w:val="30"/>
        </w:rPr>
        <w:t xml:space="preserve">2.  Technology used</w:t>
      </w:r>
    </w:p>
    <w:tbl>
      <w:tblPr>
        <w:tblW w:type="dxa" w:w="9360"/>
        <w:tblBorders>
          <w:top w:val="single" w:color="D9D9E3" w:sz="2"/>
          <w:left w:val="none" w:sz="0"/>
          <w:bottom w:val="single" w:color="D9D9E3" w:sz="2"/>
          <w:right w:val="none" w:sz="0"/>
          <w:insideH w:val="single" w:color="D9D9E3" w:sz="2"/>
          <w:insideV w:val="none" w:sz="0"/>
        </w:tblBorders>
      </w:tblPr>
      <w:tblGrid>
        <w:gridCol w:w="1500"/>
        <w:gridCol w:w="3200"/>
        <w:gridCol w:w="4660"/>
      </w:tblGrid>
      <w:tr>
        <w:trPr>
          <w:tblHeader/>
        </w:trPr>
        <w:tc>
          <w:tcPr>
            <w:tcW w:type="dxa" w:w="15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Layer</w:t>
            </w:r>
          </w:p>
        </w:tc>
        <w:tc>
          <w:tcPr>
            <w:tcW w:type="dxa" w:w="32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What is used</w:t>
            </w:r>
          </w:p>
        </w:tc>
        <w:tc>
          <w:tcPr>
            <w:tcW w:type="dxa" w:w="46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Why</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Interface</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Plain HTML, CSS and JavaScript</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No build step and no installation. The whole app is a folder you open in a browser.</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Charts</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Hand-written SVG</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Five charts, no library, no supply chain. Prints correctly too.</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Tax engine</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JavaScript, rules held as data</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Tax rates live in a separate rulebook file, so a Budget change is a data edit, not a code change.</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Machine learning</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Python 3.13, scikit-learn, NumPy, SciPy</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Used OFFLINE only, to train the income forecasting model.</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Model transport</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JSON</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The trained model is exported to a 347 KB file the browser reads directly.</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AI intake</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Claude Sonnet 5, Anthropic Messages API</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Reads plain English and fills the form. See Section 3.</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Testing</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Node.js, custom assertion harness</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220 tests across nine suites.</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Version control</w:t>
            </w:r>
          </w:p>
        </w:tc>
        <w:tc>
          <w:tcPr>
            <w:tcW w:type="dxa" w:w="3200"/>
            <w:tcMar>
              <w:top w:type="dxa" w:w="85"/>
              <w:left w:type="dxa" w:w="130"/>
              <w:bottom w:type="dxa" w:w="85"/>
              <w:right w:type="dxa" w:w="130"/>
            </w:tcMar>
          </w:tcPr>
          <w:p>
            <w:pPr>
              <w:spacing w:after="0"/>
            </w:pPr>
            <w:r>
              <w:rPr>
                <w:rFonts w:ascii="Calibri" w:cs="Calibri" w:eastAsia="Calibri" w:hAnsi="Calibri"/>
                <w:color w:val="1A1A2E"/>
                <w:sz w:val="18"/>
                <w:szCs w:val="18"/>
              </w:rPr>
              <w:t xml:space="preserve">Git and GitHub</w:t>
            </w:r>
          </w:p>
        </w:tc>
        <w:tc>
          <w:tcPr>
            <w:tcW w:type="dxa" w:w="4660"/>
            <w:tcMar>
              <w:top w:type="dxa" w:w="85"/>
              <w:left w:type="dxa" w:w="130"/>
              <w:bottom w:type="dxa" w:w="85"/>
              <w:right w:type="dxa" w:w="130"/>
            </w:tcMar>
          </w:tcPr>
          <w:p>
            <w:pPr>
              <w:spacing w:after="0"/>
            </w:pPr>
            <w:r>
              <w:rPr>
                <w:rFonts w:ascii="Calibri" w:cs="Calibri" w:eastAsia="Calibri" w:hAnsi="Calibri"/>
                <w:color w:val="1A1A2E"/>
                <w:sz w:val="18"/>
                <w:szCs w:val="18"/>
              </w:rPr>
              <w:t xml:space="preserve">github.com/agasti2715/Tax-optimization</w:t>
            </w:r>
          </w:p>
        </w:tc>
      </w:tr>
    </w:tbl>
    <w:p>
      <w:pPr>
        <w:pStyle w:val="Heading2"/>
        <w:spacing w:after="100" w:before="250"/>
      </w:pPr>
      <w:r>
        <w:rPr>
          <w:rFonts w:ascii="Calibri" w:cs="Calibri" w:eastAsia="Calibri" w:hAnsi="Calibri"/>
          <w:b/>
          <w:bCs/>
          <w:color w:val="1A1A2E"/>
          <w:sz w:val="23"/>
          <w:szCs w:val="23"/>
        </w:rPr>
        <w:t xml:space="preserve">Everything runs on your own machine</w:t>
      </w:r>
    </w:p>
    <w:p>
      <w:pPr>
        <w:spacing w:after="120" w:line="276"/>
      </w:pPr>
      <w:r>
        <w:rPr>
          <w:rFonts w:ascii="Calibri" w:cs="Calibri" w:eastAsia="Calibri" w:hAnsi="Calibri"/>
          <w:color w:val="1A1A2E"/>
          <w:sz w:val="21"/>
          <w:szCs w:val="21"/>
        </w:rPr>
        <w:t xml:space="preserve">Nothing you type is uploaded anywhere. The tax computation, the optimisation, the forecasting model and the charts all run inside your browser. The single exception is the optional Claude intake, which sends only the sentence you typed, and only when you press the button.</w:t>
      </w:r>
    </w:p>
    <w:p>
      <w:pPr>
        <w:spacing w:after="120" w:line="276"/>
      </w:pPr>
      <w:r>
        <w:rPr>
          <w:rFonts w:ascii="Calibri" w:cs="Calibri" w:eastAsia="Calibri" w:hAnsi="Calibri"/>
          <w:color w:val="1A1A2E"/>
          <w:sz w:val="21"/>
          <w:szCs w:val="21"/>
        </w:rPr>
        <w:t xml:space="preserve">This is also why the project does not use React. A framework needs a build step, a package manager and a dependency tree; that would cost the "open the folder and it works" property that makes the privacy claim true. The trade is deliberate and it is discussed further in Section 4.</w:t>
      </w:r>
    </w:p>
    <w:p>
      <w:pPr>
        <w:pBdr>
          <w:bottom w:val="single" w:color="D9D9E3" w:sz="6"/>
        </w:pBdr>
        <w:spacing w:after="180" w:before="60"/>
      </w:pPr>
      <w:r>
        <w:rPr>
          <w:sz w:val="2"/>
          <w:szCs w:val="2"/>
        </w:rPr>
        <w:t xml:space="preserve"/>
      </w:r>
    </w:p>
    <w:p>
      <w:pPr>
        <w:pStyle w:val="Heading1"/>
        <w:spacing w:after="150" w:before="340"/>
      </w:pPr>
      <w:r>
        <w:rPr>
          <w:rFonts w:ascii="Calibri" w:cs="Calibri" w:eastAsia="Calibri" w:hAnsi="Calibri"/>
          <w:b/>
          <w:bCs/>
          <w:color w:val="3B2E86"/>
          <w:sz w:val="30"/>
          <w:szCs w:val="30"/>
        </w:rPr>
        <w:t xml:space="preserve">3.  Which LLM is used, and what it is allowed to do</w:t>
      </w:r>
    </w:p>
    <w:tbl>
      <w:tblPr>
        <w:tblW w:type="dxa" w:w="9360"/>
        <w:tblBorders>
          <w:top w:val="single" w:color="D9D9E3" w:sz="2"/>
          <w:left w:val="none" w:sz="0"/>
          <w:bottom w:val="single" w:color="D9D9E3" w:sz="2"/>
          <w:right w:val="none" w:sz="0"/>
          <w:insideH w:val="single" w:color="D9D9E3" w:sz="2"/>
          <w:insideV w:val="none" w:sz="0"/>
        </w:tblBorders>
      </w:tblPr>
      <w:tblGrid>
        <w:gridCol w:w="1800"/>
        <w:gridCol w:w="7560"/>
      </w:tblGrid>
      <w:tr>
        <w:trPr>
          <w:tblHeader/>
        </w:trPr>
        <w:tc>
          <w:tcPr>
            <w:tcW w:type="dxa" w:w="18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
            </w:r>
          </w:p>
        </w:tc>
        <w:tc>
          <w:tcPr>
            <w:tcW w:type="dxa" w:w="75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
            </w:r>
          </w:p>
        </w:tc>
      </w:tr>
      <w:tr>
        <w:tc>
          <w:tcPr>
            <w:tcW w:type="dxa" w:w="1800"/>
            <w:tcMar>
              <w:top w:type="dxa" w:w="85"/>
              <w:left w:type="dxa" w:w="130"/>
              <w:bottom w:type="dxa" w:w="85"/>
              <w:right w:type="dxa" w:w="130"/>
            </w:tcMar>
          </w:tcPr>
          <w:p>
            <w:pPr>
              <w:spacing w:after="0"/>
            </w:pPr>
            <w:r>
              <w:rPr>
                <w:rFonts w:ascii="Calibri" w:cs="Calibri" w:eastAsia="Calibri" w:hAnsi="Calibri"/>
                <w:color w:val="1A1A2E"/>
                <w:sz w:val="18"/>
                <w:szCs w:val="18"/>
              </w:rPr>
              <w:t xml:space="preserve">Model</w:t>
            </w:r>
          </w:p>
        </w:tc>
        <w:tc>
          <w:tcPr>
            <w:tcW w:type="dxa" w:w="7560"/>
            <w:tcMar>
              <w:top w:type="dxa" w:w="85"/>
              <w:left w:type="dxa" w:w="130"/>
              <w:bottom w:type="dxa" w:w="85"/>
              <w:right w:type="dxa" w:w="130"/>
            </w:tcMar>
          </w:tcPr>
          <w:p>
            <w:pPr>
              <w:spacing w:after="0"/>
            </w:pPr>
            <w:r>
              <w:rPr>
                <w:rFonts w:ascii="Calibri" w:cs="Calibri" w:eastAsia="Calibri" w:hAnsi="Calibri"/>
                <w:color w:val="1A1A2E"/>
                <w:sz w:val="18"/>
                <w:szCs w:val="18"/>
              </w:rPr>
              <w:t xml:space="preserve">Claude Sonnet 5  (model id: claude-sonnet-5)</w:t>
            </w:r>
          </w:p>
        </w:tc>
      </w:tr>
      <w:tr>
        <w:tc>
          <w:tcPr>
            <w:tcW w:type="dxa" w:w="1800"/>
            <w:tcMar>
              <w:top w:type="dxa" w:w="85"/>
              <w:left w:type="dxa" w:w="130"/>
              <w:bottom w:type="dxa" w:w="85"/>
              <w:right w:type="dxa" w:w="130"/>
            </w:tcMar>
          </w:tcPr>
          <w:p>
            <w:pPr>
              <w:spacing w:after="0"/>
            </w:pPr>
            <w:r>
              <w:rPr>
                <w:rFonts w:ascii="Calibri" w:cs="Calibri" w:eastAsia="Calibri" w:hAnsi="Calibri"/>
                <w:color w:val="1A1A2E"/>
                <w:sz w:val="18"/>
                <w:szCs w:val="18"/>
              </w:rPr>
              <w:t xml:space="preserve">Provider</w:t>
            </w:r>
          </w:p>
        </w:tc>
        <w:tc>
          <w:tcPr>
            <w:tcW w:type="dxa" w:w="7560"/>
            <w:tcMar>
              <w:top w:type="dxa" w:w="85"/>
              <w:left w:type="dxa" w:w="130"/>
              <w:bottom w:type="dxa" w:w="85"/>
              <w:right w:type="dxa" w:w="130"/>
            </w:tcMar>
          </w:tcPr>
          <w:p>
            <w:pPr>
              <w:spacing w:after="0"/>
            </w:pPr>
            <w:r>
              <w:rPr>
                <w:rFonts w:ascii="Calibri" w:cs="Calibri" w:eastAsia="Calibri" w:hAnsi="Calibri"/>
                <w:color w:val="1A1A2E"/>
                <w:sz w:val="18"/>
                <w:szCs w:val="18"/>
              </w:rPr>
              <w:t xml:space="preserve">Anthropic</w:t>
            </w:r>
          </w:p>
        </w:tc>
      </w:tr>
      <w:tr>
        <w:tc>
          <w:tcPr>
            <w:tcW w:type="dxa" w:w="1800"/>
            <w:tcMar>
              <w:top w:type="dxa" w:w="85"/>
              <w:left w:type="dxa" w:w="130"/>
              <w:bottom w:type="dxa" w:w="85"/>
              <w:right w:type="dxa" w:w="130"/>
            </w:tcMar>
          </w:tcPr>
          <w:p>
            <w:pPr>
              <w:spacing w:after="0"/>
            </w:pPr>
            <w:r>
              <w:rPr>
                <w:rFonts w:ascii="Calibri" w:cs="Calibri" w:eastAsia="Calibri" w:hAnsi="Calibri"/>
                <w:color w:val="1A1A2E"/>
                <w:sz w:val="18"/>
                <w:szCs w:val="18"/>
              </w:rPr>
              <w:t xml:space="preserve">Interface</w:t>
            </w:r>
          </w:p>
        </w:tc>
        <w:tc>
          <w:tcPr>
            <w:tcW w:type="dxa" w:w="7560"/>
            <w:tcMar>
              <w:top w:type="dxa" w:w="85"/>
              <w:left w:type="dxa" w:w="130"/>
              <w:bottom w:type="dxa" w:w="85"/>
              <w:right w:type="dxa" w:w="130"/>
            </w:tcMar>
          </w:tcPr>
          <w:p>
            <w:pPr>
              <w:spacing w:after="0"/>
            </w:pPr>
            <w:r>
              <w:rPr>
                <w:rFonts w:ascii="Calibri" w:cs="Calibri" w:eastAsia="Calibri" w:hAnsi="Calibri"/>
                <w:color w:val="1A1A2E"/>
                <w:sz w:val="18"/>
                <w:szCs w:val="18"/>
              </w:rPr>
              <w:t xml:space="preserve">Messages API, version 2023-06-01, called directly from the browser</w:t>
            </w:r>
          </w:p>
        </w:tc>
      </w:tr>
      <w:tr>
        <w:tc>
          <w:tcPr>
            <w:tcW w:type="dxa" w:w="1800"/>
            <w:tcMar>
              <w:top w:type="dxa" w:w="85"/>
              <w:left w:type="dxa" w:w="130"/>
              <w:bottom w:type="dxa" w:w="85"/>
              <w:right w:type="dxa" w:w="130"/>
            </w:tcMar>
          </w:tcPr>
          <w:p>
            <w:pPr>
              <w:spacing w:after="0"/>
            </w:pPr>
            <w:r>
              <w:rPr>
                <w:rFonts w:ascii="Calibri" w:cs="Calibri" w:eastAsia="Calibri" w:hAnsi="Calibri"/>
                <w:color w:val="1A1A2E"/>
                <w:sz w:val="18"/>
                <w:szCs w:val="18"/>
              </w:rPr>
              <w:t xml:space="preserve">Used for</w:t>
            </w:r>
          </w:p>
        </w:tc>
        <w:tc>
          <w:tcPr>
            <w:tcW w:type="dxa" w:w="7560"/>
            <w:tcMar>
              <w:top w:type="dxa" w:w="85"/>
              <w:left w:type="dxa" w:w="130"/>
              <w:bottom w:type="dxa" w:w="85"/>
              <w:right w:type="dxa" w:w="130"/>
            </w:tcMar>
          </w:tcPr>
          <w:p>
            <w:pPr>
              <w:spacing w:after="0"/>
            </w:pPr>
            <w:r>
              <w:rPr>
                <w:rFonts w:ascii="Calibri" w:cs="Calibri" w:eastAsia="Calibri" w:hAnsi="Calibri"/>
                <w:color w:val="1A1A2E"/>
                <w:sz w:val="18"/>
                <w:szCs w:val="18"/>
              </w:rPr>
              <w:t xml:space="preserve">ONE job only: reading a plain-English description and filling the input form</w:t>
            </w:r>
          </w:p>
        </w:tc>
      </w:tr>
      <w:tr>
        <w:tc>
          <w:tcPr>
            <w:tcW w:type="dxa" w:w="1800"/>
            <w:tcMar>
              <w:top w:type="dxa" w:w="85"/>
              <w:left w:type="dxa" w:w="130"/>
              <w:bottom w:type="dxa" w:w="85"/>
              <w:right w:type="dxa" w:w="130"/>
            </w:tcMar>
          </w:tcPr>
          <w:p>
            <w:pPr>
              <w:spacing w:after="0"/>
            </w:pPr>
            <w:r>
              <w:rPr>
                <w:rFonts w:ascii="Calibri" w:cs="Calibri" w:eastAsia="Calibri" w:hAnsi="Calibri"/>
                <w:color w:val="1A1A2E"/>
                <w:sz w:val="18"/>
                <w:szCs w:val="18"/>
              </w:rPr>
              <w:t xml:space="preserve">Never used for</w:t>
            </w:r>
          </w:p>
        </w:tc>
        <w:tc>
          <w:tcPr>
            <w:tcW w:type="dxa" w:w="7560"/>
            <w:tcMar>
              <w:top w:type="dxa" w:w="85"/>
              <w:left w:type="dxa" w:w="130"/>
              <w:bottom w:type="dxa" w:w="85"/>
              <w:right w:type="dxa" w:w="130"/>
            </w:tcMar>
          </w:tcPr>
          <w:p>
            <w:pPr>
              <w:spacing w:after="0"/>
            </w:pPr>
            <w:r>
              <w:rPr>
                <w:rFonts w:ascii="Calibri" w:cs="Calibri" w:eastAsia="Calibri" w:hAnsi="Calibri"/>
                <w:color w:val="1A1A2E"/>
                <w:sz w:val="18"/>
                <w:szCs w:val="18"/>
              </w:rPr>
              <w:t xml:space="preserve">Any calculation, any tax figure, any regime recommendation, any saving</w:t>
            </w:r>
          </w:p>
        </w:tc>
      </w:tr>
    </w:tbl>
    <w:p>
      <w:pPr>
        <w:pStyle w:val="Heading2"/>
        <w:spacing w:after="100" w:before="250"/>
      </w:pPr>
      <w:r>
        <w:rPr>
          <w:rFonts w:ascii="Calibri" w:cs="Calibri" w:eastAsia="Calibri" w:hAnsi="Calibri"/>
          <w:b/>
          <w:bCs/>
          <w:color w:val="1A1A2E"/>
          <w:sz w:val="23"/>
          <w:szCs w:val="23"/>
        </w:rPr>
        <w:t xml:space="preserve">The one job it has</w:t>
      </w:r>
    </w:p>
    <w:p>
      <w:pPr>
        <w:spacing w:after="120" w:line="276"/>
      </w:pPr>
      <w:r>
        <w:rPr>
          <w:rFonts w:ascii="Calibri" w:cs="Calibri" w:eastAsia="Calibri" w:hAnsi="Calibri"/>
          <w:color w:val="1A1A2E"/>
          <w:sz w:val="21"/>
          <w:szCs w:val="21"/>
        </w:rPr>
        <w:t xml:space="preserve">You type something like "I am 29, freelance UX designer in Bengaluru, made about 16 lakh this year, paying off an education loan". Claude turns that into structured form fields. That is the entire extent of its involvement.</w:t>
      </w:r>
    </w:p>
    <w:p>
      <w:pPr>
        <w:pStyle w:val="Heading2"/>
        <w:spacing w:after="100" w:before="250"/>
      </w:pPr>
      <w:r>
        <w:rPr>
          <w:rFonts w:ascii="Calibri" w:cs="Calibri" w:eastAsia="Calibri" w:hAnsi="Calibri"/>
          <w:b/>
          <w:bCs/>
          <w:color w:val="1A1A2E"/>
          <w:sz w:val="23"/>
          <w:szCs w:val="23"/>
        </w:rPr>
        <w:t xml:space="preserve">Three defences that keep it in its lane</w:t>
      </w:r>
    </w:p>
    <w:tbl>
      <w:tblPr>
        <w:tblW w:type="dxa" w:w="9360"/>
        <w:tblBorders>
          <w:top w:val="single" w:color="D9D9E3" w:sz="2"/>
          <w:left w:val="none" w:sz="0"/>
          <w:bottom w:val="single" w:color="D9D9E3" w:sz="2"/>
          <w:right w:val="none" w:sz="0"/>
          <w:insideH w:val="single" w:color="D9D9E3" w:sz="2"/>
          <w:insideV w:val="none" w:sz="0"/>
        </w:tblBorders>
      </w:tblPr>
      <w:tblGrid>
        <w:gridCol w:w="2000"/>
        <w:gridCol w:w="7360"/>
      </w:tblGrid>
      <w:tr>
        <w:trPr>
          <w:tblHeader/>
        </w:trPr>
        <w:tc>
          <w:tcPr>
            <w:tcW w:type="dxa" w:w="20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Defence</w:t>
            </w:r>
          </w:p>
        </w:tc>
        <w:tc>
          <w:tcPr>
            <w:tcW w:type="dxa" w:w="73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How it works</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Structured output</w:t>
            </w:r>
          </w:p>
        </w:tc>
        <w:tc>
          <w:tcPr>
            <w:tcW w:type="dxa" w:w="7360"/>
            <w:tcMar>
              <w:top w:type="dxa" w:w="85"/>
              <w:left w:type="dxa" w:w="130"/>
              <w:bottom w:type="dxa" w:w="85"/>
              <w:right w:type="dxa" w:w="130"/>
            </w:tcMar>
          </w:tcPr>
          <w:p>
            <w:pPr>
              <w:spacing w:after="0"/>
            </w:pPr>
            <w:r>
              <w:rPr>
                <w:rFonts w:ascii="Calibri" w:cs="Calibri" w:eastAsia="Calibri" w:hAnsi="Calibri"/>
                <w:color w:val="1A1A2E"/>
                <w:sz w:val="18"/>
                <w:szCs w:val="18"/>
              </w:rPr>
              <w:t xml:space="preserve">Claude is given a tool definition and must reply by calling it. There is no free-text path into the data at all, so there is nothing to misread out of a paragraph of prose.</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Schema validation</w:t>
            </w:r>
          </w:p>
        </w:tc>
        <w:tc>
          <w:tcPr>
            <w:tcW w:type="dxa" w:w="7360"/>
            <w:tcMar>
              <w:top w:type="dxa" w:w="85"/>
              <w:left w:type="dxa" w:w="130"/>
              <w:bottom w:type="dxa" w:w="85"/>
              <w:right w:type="dxa" w:w="130"/>
            </w:tcMar>
          </w:tcPr>
          <w:p>
            <w:pPr>
              <w:spacing w:after="0"/>
            </w:pPr>
            <w:r>
              <w:rPr>
                <w:rFonts w:ascii="Calibri" w:cs="Calibri" w:eastAsia="Calibri" w:hAnsi="Calibri"/>
                <w:color w:val="1A1A2E"/>
                <w:sz w:val="18"/>
                <w:szCs w:val="18"/>
              </w:rPr>
              <w:t xml:space="preserve">Every field it returns is checked before use. A field the schema does not define is dropped, not merged. A negative amount is refused. An invalid category leaves the safe default in place.</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Citation firewall</w:t>
            </w:r>
          </w:p>
        </w:tc>
        <w:tc>
          <w:tcPr>
            <w:tcW w:type="dxa" w:w="7360"/>
            <w:tcMar>
              <w:top w:type="dxa" w:w="85"/>
              <w:left w:type="dxa" w:w="130"/>
              <w:bottom w:type="dxa" w:w="85"/>
              <w:right w:type="dxa" w:w="130"/>
            </w:tcMar>
          </w:tcPr>
          <w:p>
            <w:pPr>
              <w:spacing w:after="0"/>
            </w:pPr>
            <w:r>
              <w:rPr>
                <w:rFonts w:ascii="Calibri" w:cs="Calibri" w:eastAsia="Calibri" w:hAnsi="Calibri"/>
                <w:color w:val="1A1A2E"/>
                <w:sz w:val="18"/>
                <w:szCs w:val="18"/>
              </w:rPr>
              <w:t xml:space="preserve">If Claude mentions a section of the Income-tax Act, that section is checked against our rulebook. Anything we do not implement is shown to the user as unverified rather than presented as fact.</w:t>
            </w:r>
          </w:p>
        </w:tc>
      </w:tr>
    </w:tbl>
    <w:p>
      <w:pPr>
        <w:spacing w:after="120" w:line="276"/>
      </w:pPr>
      <w:r>
        <w:rPr>
          <w:rFonts w:ascii="Calibri" w:cs="Calibri" w:eastAsia="Calibri" w:hAnsi="Calibri"/>
          <w:color w:val="1A1A2E"/>
          <w:sz w:val="21"/>
          <w:szCs w:val="21"/>
        </w:rPr>
        <w:t xml:space="preserve">These were tested against a deliberately bad reply. Claude was made to return an invented "section 80ZZZ", a "taxPayable" field where it tried to do the arithmetic itself, a house status of "rented" which is not a valid option, and a citation of section 91B which this tool does not implement.</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50"/>
              <w:left w:type="dxa" w:w="190"/>
              <w:bottom w:type="dxa" w:w="150"/>
              <w:right w:type="dxa" w:w="190"/>
            </w:tcMar>
          </w:tcPr>
          <w:p>
            <w:pPr>
              <w:spacing w:after="0" w:line="276"/>
            </w:pPr>
            <w:r>
              <w:rPr>
                <w:rFonts w:ascii="Calibri" w:cs="Calibri" w:eastAsia="Calibri" w:hAnsi="Calibri"/>
                <w:b/>
                <w:bCs/>
                <w:color w:val="1A1A2E"/>
                <w:sz w:val="21"/>
                <w:szCs w:val="21"/>
              </w:rPr>
              <w:t xml:space="preserve">All four were caught and reported on screen, and the four legitimate fields alongside them went through normally. </w:t>
            </w:r>
            <w:r>
              <w:rPr>
                <w:rFonts w:ascii="Calibri" w:cs="Calibri" w:eastAsia="Calibri" w:hAnsi="Calibri"/>
                <w:color w:val="1A1A2E"/>
                <w:sz w:val="21"/>
                <w:szCs w:val="21"/>
              </w:rPr>
              <w:t xml:space="preserve">That rejection panel is visible in the running application — it is a working defence, not a claim in a document.</w:t>
            </w:r>
          </w:p>
        </w:tc>
      </w:tr>
    </w:tbl>
    <w:tbl>
      <w:tblPr>
        <w:tblW w:type="dxa" w:w="9360"/>
        <w:tblBorders>
          <w:top w:val="single" w:color="C9C2E8" w:sz="2"/>
          <w:left w:val="single" w:color="B45309" w:sz="18"/>
          <w:bottom w:val="single" w:color="C9C2E8" w:sz="2"/>
          <w:right w:val="single" w:color="C9C2E8" w:sz="2"/>
          <w:insideH w:val="none" w:sz="0"/>
          <w:insideV w:val="none" w:sz="0"/>
        </w:tblBorders>
      </w:tblPr>
      <w:tblGrid>
        <w:gridCol w:w="9360"/>
      </w:tblGrid>
      <w:tr>
        <w:tc>
          <w:tcPr>
            <w:tcW w:type="dxa" w:w="9360"/>
            <w:shd w:fill="FDF6EC" w:val="clear"/>
            <w:tcMar>
              <w:top w:type="dxa" w:w="150"/>
              <w:left w:type="dxa" w:w="190"/>
              <w:bottom w:type="dxa" w:w="150"/>
              <w:right w:type="dxa" w:w="190"/>
            </w:tcMar>
          </w:tcPr>
          <w:p>
            <w:pPr>
              <w:spacing w:after="0" w:line="276"/>
            </w:pPr>
            <w:r>
              <w:rPr>
                <w:rFonts w:ascii="Calibri" w:cs="Calibri" w:eastAsia="Calibri" w:hAnsi="Calibri"/>
                <w:b/>
                <w:bCs/>
                <w:color w:val="1A1A2E"/>
                <w:sz w:val="21"/>
                <w:szCs w:val="21"/>
              </w:rPr>
              <w:t xml:space="preserve">Honest warning about the API key. </w:t>
            </w:r>
            <w:r>
              <w:rPr>
                <w:rFonts w:ascii="Calibri" w:cs="Calibri" w:eastAsia="Calibri" w:hAnsi="Calibri"/>
                <w:color w:val="1A1A2E"/>
                <w:sz w:val="21"/>
                <w:szCs w:val="21"/>
              </w:rPr>
              <w:t xml:space="preserve">The key is entered in the browser and stored there. That is acceptable for a demonstration run on your own laptop, and it is NOT acceptable for anything published on the internet, because a key in a public page will be found and used by someone else. A deployed version would put a small server in front and keep the key on it.</w:t>
            </w:r>
          </w:p>
        </w:tc>
      </w:tr>
    </w:tbl>
    <w:p>
      <w:pPr>
        <w:pBdr>
          <w:bottom w:val="single" w:color="D9D9E3" w:sz="6"/>
        </w:pBdr>
        <w:spacing w:after="180" w:before="60"/>
      </w:pPr>
      <w:r>
        <w:rPr>
          <w:sz w:val="2"/>
          <w:szCs w:val="2"/>
        </w:rPr>
        <w:t xml:space="preserve"/>
      </w:r>
    </w:p>
    <w:p>
      <w:pPr>
        <w:pStyle w:val="Heading1"/>
        <w:spacing w:after="150" w:before="340"/>
      </w:pPr>
      <w:r>
        <w:rPr>
          <w:rFonts w:ascii="Calibri" w:cs="Calibri" w:eastAsia="Calibri" w:hAnsi="Calibri"/>
          <w:b/>
          <w:bCs/>
          <w:color w:val="3B2E86"/>
          <w:sz w:val="30"/>
          <w:szCs w:val="30"/>
        </w:rPr>
        <w:t xml:space="preserve">4.  Which framework is used</w:t>
      </w:r>
    </w:p>
    <w:p>
      <w:pPr>
        <w:spacing w:after="120" w:line="276"/>
      </w:pPr>
      <w:r>
        <w:rPr>
          <w:rFonts w:ascii="Calibri" w:cs="Calibri" w:eastAsia="Calibri" w:hAnsi="Calibri"/>
          <w:color w:val="1A1A2E"/>
          <w:sz w:val="21"/>
          <w:szCs w:val="21"/>
        </w:rPr>
        <w:t xml:space="preserve">This deserves a direct answer, because it is the question most likely to be asked.</w:t>
      </w:r>
    </w:p>
    <w:p>
      <w:pPr>
        <w:spacing w:after="120" w:line="276"/>
      </w:pPr>
      <w:r>
        <w:rPr>
          <w:rFonts w:ascii="Calibri" w:cs="Calibri" w:eastAsia="Calibri" w:hAnsi="Calibri"/>
          <w:b/>
          <w:bCs/>
          <w:color w:val="1A1A2E"/>
          <w:sz w:val="21"/>
          <w:szCs w:val="21"/>
        </w:rPr>
        <w:t xml:space="preserve">No third-party frontend framework is used. There is no React, no Angular, no Vue, and no build step. </w:t>
      </w:r>
      <w:r>
        <w:rPr>
          <w:rFonts w:ascii="Calibri" w:cs="Calibri" w:eastAsia="Calibri" w:hAnsi="Calibri"/>
          <w:color w:val="1A1A2E"/>
          <w:sz w:val="21"/>
          <w:szCs w:val="21"/>
        </w:rPr>
        <w:t xml:space="preserve">The "framework" in the project title refers to the multi-agent framework described in Section 1 — the orchestration layer, the dependency graph and the event bus — which was written for this project.</w:t>
      </w:r>
    </w:p>
    <w:p>
      <w:pPr>
        <w:pStyle w:val="Heading2"/>
        <w:spacing w:after="100" w:before="250"/>
      </w:pPr>
      <w:r>
        <w:rPr>
          <w:rFonts w:ascii="Calibri" w:cs="Calibri" w:eastAsia="Calibri" w:hAnsi="Calibri"/>
          <w:b/>
          <w:bCs/>
          <w:color w:val="1A1A2E"/>
          <w:sz w:val="23"/>
          <w:szCs w:val="23"/>
        </w:rPr>
        <w:t xml:space="preserve">What is used instead</w:t>
      </w:r>
    </w:p>
    <w:tbl>
      <w:tblPr>
        <w:tblW w:type="dxa" w:w="9360"/>
        <w:tblBorders>
          <w:top w:val="single" w:color="D9D9E3" w:sz="2"/>
          <w:left w:val="none" w:sz="0"/>
          <w:bottom w:val="single" w:color="D9D9E3" w:sz="2"/>
          <w:right w:val="none" w:sz="0"/>
          <w:insideH w:val="single" w:color="D9D9E3" w:sz="2"/>
          <w:insideV w:val="none" w:sz="0"/>
        </w:tblBorders>
      </w:tblPr>
      <w:tblGrid>
        <w:gridCol w:w="2100"/>
        <w:gridCol w:w="3300"/>
        <w:gridCol w:w="3960"/>
      </w:tblGrid>
      <w:tr>
        <w:trPr>
          <w:tblHeader/>
        </w:trPr>
        <w:tc>
          <w:tcPr>
            <w:tcW w:type="dxa" w:w="21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Instead of</w:t>
            </w:r>
          </w:p>
        </w:tc>
        <w:tc>
          <w:tcPr>
            <w:tcW w:type="dxa" w:w="33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This project uses</w:t>
            </w:r>
          </w:p>
        </w:tc>
        <w:tc>
          <w:tcPr>
            <w:tcW w:type="dxa" w:w="39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Consequence</w:t>
            </w:r>
          </w:p>
        </w:tc>
      </w:tr>
      <w:tr>
        <w:tc>
          <w:tcPr>
            <w:tcW w:type="dxa" w:w="2100"/>
            <w:tcMar>
              <w:top w:type="dxa" w:w="85"/>
              <w:left w:type="dxa" w:w="130"/>
              <w:bottom w:type="dxa" w:w="85"/>
              <w:right w:type="dxa" w:w="130"/>
            </w:tcMar>
          </w:tcPr>
          <w:p>
            <w:pPr>
              <w:spacing w:after="0"/>
            </w:pPr>
            <w:r>
              <w:rPr>
                <w:rFonts w:ascii="Calibri" w:cs="Calibri" w:eastAsia="Calibri" w:hAnsi="Calibri"/>
                <w:color w:val="1A1A2E"/>
                <w:sz w:val="18"/>
                <w:szCs w:val="18"/>
              </w:rPr>
              <w:t xml:space="preserve">React / Vue</w:t>
            </w:r>
          </w:p>
        </w:tc>
        <w:tc>
          <w:tcPr>
            <w:tcW w:type="dxa" w:w="3300"/>
            <w:tcMar>
              <w:top w:type="dxa" w:w="85"/>
              <w:left w:type="dxa" w:w="130"/>
              <w:bottom w:type="dxa" w:w="85"/>
              <w:right w:type="dxa" w:w="130"/>
            </w:tcMar>
          </w:tcPr>
          <w:p>
            <w:pPr>
              <w:spacing w:after="0"/>
            </w:pPr>
            <w:r>
              <w:rPr>
                <w:rFonts w:ascii="Calibri" w:cs="Calibri" w:eastAsia="Calibri" w:hAnsi="Calibri"/>
                <w:color w:val="1A1A2E"/>
                <w:sz w:val="18"/>
                <w:szCs w:val="18"/>
              </w:rPr>
              <w:t xml:space="preserve">Plain JavaScript modules on one page</w:t>
            </w:r>
          </w:p>
        </w:tc>
        <w:tc>
          <w:tcPr>
            <w:tcW w:type="dxa" w:w="3960"/>
            <w:tcMar>
              <w:top w:type="dxa" w:w="85"/>
              <w:left w:type="dxa" w:w="130"/>
              <w:bottom w:type="dxa" w:w="85"/>
              <w:right w:type="dxa" w:w="130"/>
            </w:tcMar>
          </w:tcPr>
          <w:p>
            <w:pPr>
              <w:spacing w:after="0"/>
            </w:pPr>
            <w:r>
              <w:rPr>
                <w:rFonts w:ascii="Calibri" w:cs="Calibri" w:eastAsia="Calibri" w:hAnsi="Calibri"/>
                <w:color w:val="1A1A2E"/>
                <w:sz w:val="18"/>
                <w:szCs w:val="18"/>
              </w:rPr>
              <w:t xml:space="preserve">No build, no node_modules, opens straight from the folder</w:t>
            </w:r>
          </w:p>
        </w:tc>
      </w:tr>
      <w:tr>
        <w:tc>
          <w:tcPr>
            <w:tcW w:type="dxa" w:w="2100"/>
            <w:tcMar>
              <w:top w:type="dxa" w:w="85"/>
              <w:left w:type="dxa" w:w="130"/>
              <w:bottom w:type="dxa" w:w="85"/>
              <w:right w:type="dxa" w:w="130"/>
            </w:tcMar>
          </w:tcPr>
          <w:p>
            <w:pPr>
              <w:spacing w:after="0"/>
            </w:pPr>
            <w:r>
              <w:rPr>
                <w:rFonts w:ascii="Calibri" w:cs="Calibri" w:eastAsia="Calibri" w:hAnsi="Calibri"/>
                <w:color w:val="1A1A2E"/>
                <w:sz w:val="18"/>
                <w:szCs w:val="18"/>
              </w:rPr>
              <w:t xml:space="preserve">Recharts / Chart.js</w:t>
            </w:r>
          </w:p>
        </w:tc>
        <w:tc>
          <w:tcPr>
            <w:tcW w:type="dxa" w:w="3300"/>
            <w:tcMar>
              <w:top w:type="dxa" w:w="85"/>
              <w:left w:type="dxa" w:w="130"/>
              <w:bottom w:type="dxa" w:w="85"/>
              <w:right w:type="dxa" w:w="130"/>
            </w:tcMar>
          </w:tcPr>
          <w:p>
            <w:pPr>
              <w:spacing w:after="0"/>
            </w:pPr>
            <w:r>
              <w:rPr>
                <w:rFonts w:ascii="Calibri" w:cs="Calibri" w:eastAsia="Calibri" w:hAnsi="Calibri"/>
                <w:color w:val="1A1A2E"/>
                <w:sz w:val="18"/>
                <w:szCs w:val="18"/>
              </w:rPr>
              <w:t xml:space="preserve">Hand-written SVG (about 350 lines)</w:t>
            </w:r>
          </w:p>
        </w:tc>
        <w:tc>
          <w:tcPr>
            <w:tcW w:type="dxa" w:w="3960"/>
            <w:tcMar>
              <w:top w:type="dxa" w:w="85"/>
              <w:left w:type="dxa" w:w="130"/>
              <w:bottom w:type="dxa" w:w="85"/>
              <w:right w:type="dxa" w:w="130"/>
            </w:tcMar>
          </w:tcPr>
          <w:p>
            <w:pPr>
              <w:spacing w:after="0"/>
            </w:pPr>
            <w:r>
              <w:rPr>
                <w:rFonts w:ascii="Calibri" w:cs="Calibri" w:eastAsia="Calibri" w:hAnsi="Calibri"/>
                <w:color w:val="1A1A2E"/>
                <w:sz w:val="18"/>
                <w:szCs w:val="18"/>
              </w:rPr>
              <w:t xml:space="preserve">Five charts, no dependency, prints correctly</w:t>
            </w:r>
          </w:p>
        </w:tc>
      </w:tr>
      <w:tr>
        <w:tc>
          <w:tcPr>
            <w:tcW w:type="dxa" w:w="2100"/>
            <w:tcMar>
              <w:top w:type="dxa" w:w="85"/>
              <w:left w:type="dxa" w:w="130"/>
              <w:bottom w:type="dxa" w:w="85"/>
              <w:right w:type="dxa" w:w="130"/>
            </w:tcMar>
          </w:tcPr>
          <w:p>
            <w:pPr>
              <w:spacing w:after="0"/>
            </w:pPr>
            <w:r>
              <w:rPr>
                <w:rFonts w:ascii="Calibri" w:cs="Calibri" w:eastAsia="Calibri" w:hAnsi="Calibri"/>
                <w:color w:val="1A1A2E"/>
                <w:sz w:val="18"/>
                <w:szCs w:val="18"/>
              </w:rPr>
              <w:t xml:space="preserve">Redux / state library</w:t>
            </w:r>
          </w:p>
        </w:tc>
        <w:tc>
          <w:tcPr>
            <w:tcW w:type="dxa" w:w="3300"/>
            <w:tcMar>
              <w:top w:type="dxa" w:w="85"/>
              <w:left w:type="dxa" w:w="130"/>
              <w:bottom w:type="dxa" w:w="85"/>
              <w:right w:type="dxa" w:w="130"/>
            </w:tcMar>
          </w:tcPr>
          <w:p>
            <w:pPr>
              <w:spacing w:after="0"/>
            </w:pPr>
            <w:r>
              <w:rPr>
                <w:rFonts w:ascii="Calibri" w:cs="Calibri" w:eastAsia="Calibri" w:hAnsi="Calibri"/>
                <w:color w:val="1A1A2E"/>
                <w:sz w:val="18"/>
                <w:szCs w:val="18"/>
              </w:rPr>
              <w:t xml:space="preserve">One profile object plus one pipeline result</w:t>
            </w:r>
          </w:p>
        </w:tc>
        <w:tc>
          <w:tcPr>
            <w:tcW w:type="dxa" w:w="3960"/>
            <w:tcMar>
              <w:top w:type="dxa" w:w="85"/>
              <w:left w:type="dxa" w:w="130"/>
              <w:bottom w:type="dxa" w:w="85"/>
              <w:right w:type="dxa" w:w="130"/>
            </w:tcMar>
          </w:tcPr>
          <w:p>
            <w:pPr>
              <w:spacing w:after="0"/>
            </w:pPr>
            <w:r>
              <w:rPr>
                <w:rFonts w:ascii="Calibri" w:cs="Calibri" w:eastAsia="Calibri" w:hAnsi="Calibri"/>
                <w:color w:val="1A1A2E"/>
                <w:sz w:val="18"/>
                <w:szCs w:val="18"/>
              </w:rPr>
              <w:t xml:space="preserve">The whole data flow fits on a page</w:t>
            </w:r>
          </w:p>
        </w:tc>
      </w:tr>
      <w:tr>
        <w:tc>
          <w:tcPr>
            <w:tcW w:type="dxa" w:w="2100"/>
            <w:tcMar>
              <w:top w:type="dxa" w:w="85"/>
              <w:left w:type="dxa" w:w="130"/>
              <w:bottom w:type="dxa" w:w="85"/>
              <w:right w:type="dxa" w:w="130"/>
            </w:tcMar>
          </w:tcPr>
          <w:p>
            <w:pPr>
              <w:spacing w:after="0"/>
            </w:pPr>
            <w:r>
              <w:rPr>
                <w:rFonts w:ascii="Calibri" w:cs="Calibri" w:eastAsia="Calibri" w:hAnsi="Calibri"/>
                <w:color w:val="1A1A2E"/>
                <w:sz w:val="18"/>
                <w:szCs w:val="18"/>
              </w:rPr>
              <w:t xml:space="preserve">FastAPI backend</w:t>
            </w:r>
          </w:p>
        </w:tc>
        <w:tc>
          <w:tcPr>
            <w:tcW w:type="dxa" w:w="3300"/>
            <w:tcMar>
              <w:top w:type="dxa" w:w="85"/>
              <w:left w:type="dxa" w:w="130"/>
              <w:bottom w:type="dxa" w:w="85"/>
              <w:right w:type="dxa" w:w="130"/>
            </w:tcMar>
          </w:tcPr>
          <w:p>
            <w:pPr>
              <w:spacing w:after="0"/>
            </w:pPr>
            <w:r>
              <w:rPr>
                <w:rFonts w:ascii="Calibri" w:cs="Calibri" w:eastAsia="Calibri" w:hAnsi="Calibri"/>
                <w:color w:val="1A1A2E"/>
                <w:sz w:val="18"/>
                <w:szCs w:val="18"/>
              </w:rPr>
              <w:t xml:space="preserve">Everything in the browser</w:t>
            </w:r>
          </w:p>
        </w:tc>
        <w:tc>
          <w:tcPr>
            <w:tcW w:type="dxa" w:w="3960"/>
            <w:tcMar>
              <w:top w:type="dxa" w:w="85"/>
              <w:left w:type="dxa" w:w="130"/>
              <w:bottom w:type="dxa" w:w="85"/>
              <w:right w:type="dxa" w:w="130"/>
            </w:tcMar>
          </w:tcPr>
          <w:p>
            <w:pPr>
              <w:spacing w:after="0"/>
            </w:pPr>
            <w:r>
              <w:rPr>
                <w:rFonts w:ascii="Calibri" w:cs="Calibri" w:eastAsia="Calibri" w:hAnsi="Calibri"/>
                <w:color w:val="1A1A2E"/>
                <w:sz w:val="18"/>
                <w:szCs w:val="18"/>
              </w:rPr>
              <w:t xml:space="preserve">No server, so no data leaves the machine</w:t>
            </w:r>
          </w:p>
        </w:tc>
      </w:tr>
      <w:tr>
        <w:tc>
          <w:tcPr>
            <w:tcW w:type="dxa" w:w="2100"/>
            <w:tcMar>
              <w:top w:type="dxa" w:w="85"/>
              <w:left w:type="dxa" w:w="130"/>
              <w:bottom w:type="dxa" w:w="85"/>
              <w:right w:type="dxa" w:w="130"/>
            </w:tcMar>
          </w:tcPr>
          <w:p>
            <w:pPr>
              <w:spacing w:after="0"/>
            </w:pPr>
            <w:r>
              <w:rPr>
                <w:rFonts w:ascii="Calibri" w:cs="Calibri" w:eastAsia="Calibri" w:hAnsi="Calibri"/>
                <w:color w:val="1A1A2E"/>
                <w:sz w:val="18"/>
                <w:szCs w:val="18"/>
              </w:rPr>
              <w:t xml:space="preserve">Webpack / Vite</w:t>
            </w:r>
          </w:p>
        </w:tc>
        <w:tc>
          <w:tcPr>
            <w:tcW w:type="dxa" w:w="3300"/>
            <w:tcMar>
              <w:top w:type="dxa" w:w="85"/>
              <w:left w:type="dxa" w:w="130"/>
              <w:bottom w:type="dxa" w:w="85"/>
              <w:right w:type="dxa" w:w="130"/>
            </w:tcMar>
          </w:tcPr>
          <w:p>
            <w:pPr>
              <w:spacing w:after="0"/>
            </w:pPr>
            <w:r>
              <w:rPr>
                <w:rFonts w:ascii="Calibri" w:cs="Calibri" w:eastAsia="Calibri" w:hAnsi="Calibri"/>
                <w:color w:val="1A1A2E"/>
                <w:sz w:val="18"/>
                <w:szCs w:val="18"/>
              </w:rPr>
              <w:t xml:space="preserve">Ordinary &lt;script&gt; tags</w:t>
            </w:r>
          </w:p>
        </w:tc>
        <w:tc>
          <w:tcPr>
            <w:tcW w:type="dxa" w:w="3960"/>
            <w:tcMar>
              <w:top w:type="dxa" w:w="85"/>
              <w:left w:type="dxa" w:w="130"/>
              <w:bottom w:type="dxa" w:w="85"/>
              <w:right w:type="dxa" w:w="130"/>
            </w:tcMar>
          </w:tcPr>
          <w:p>
            <w:pPr>
              <w:spacing w:after="0"/>
            </w:pPr>
            <w:r>
              <w:rPr>
                <w:rFonts w:ascii="Calibri" w:cs="Calibri" w:eastAsia="Calibri" w:hAnsi="Calibri"/>
                <w:color w:val="1A1A2E"/>
                <w:sz w:val="18"/>
                <w:szCs w:val="18"/>
              </w:rPr>
              <w:t xml:space="preserve">What you edit is what runs</w:t>
            </w:r>
          </w:p>
        </w:tc>
      </w:tr>
    </w:tbl>
    <w:p>
      <w:pPr>
        <w:pStyle w:val="Heading2"/>
        <w:spacing w:after="100" w:before="250"/>
      </w:pPr>
      <w:r>
        <w:rPr>
          <w:rFonts w:ascii="Calibri" w:cs="Calibri" w:eastAsia="Calibri" w:hAnsi="Calibri"/>
          <w:b/>
          <w:bCs/>
          <w:color w:val="1A1A2E"/>
          <w:sz w:val="23"/>
          <w:szCs w:val="23"/>
        </w:rPr>
        <w:t xml:space="preserve">Why, and what it costs</w:t>
      </w:r>
    </w:p>
    <w:p>
      <w:pPr>
        <w:spacing w:after="120" w:line="276"/>
      </w:pPr>
      <w:r>
        <w:rPr>
          <w:rFonts w:ascii="Calibri" w:cs="Calibri" w:eastAsia="Calibri" w:hAnsi="Calibri"/>
          <w:color w:val="1A1A2E"/>
          <w:sz w:val="21"/>
          <w:szCs w:val="21"/>
        </w:rPr>
        <w:t xml:space="preserve">The benefit is real: the application has no installation, no server, no dependencies to break, and nothing you enter is transmitted anywhere. For a tax tool handling personal financial data, that last point is the strongest claim it makes.</w:t>
      </w:r>
    </w:p>
    <w:p>
      <w:pPr>
        <w:spacing w:after="120" w:line="276"/>
      </w:pPr>
      <w:r>
        <w:rPr>
          <w:rFonts w:ascii="Calibri" w:cs="Calibri" w:eastAsia="Calibri" w:hAnsi="Calibri"/>
          <w:color w:val="1A1A2E"/>
          <w:sz w:val="21"/>
          <w:szCs w:val="21"/>
        </w:rPr>
        <w:t xml:space="preserve">The cost is real too, and worth stating. Plain JavaScript on one page does not scale to a large team or a large application. Every module shares one global scope, which caused two genuine bugs during development — two files declaring the same name, once stopping the page entirely and once silently calling the wrong function. There is now an automated test that parses the source files the way the browser loads them and fails if any name is declared twice.</w:t>
      </w:r>
    </w:p>
    <w:p>
      <w:pPr>
        <w:spacing w:after="120" w:line="276"/>
      </w:pPr>
      <w:r>
        <w:rPr>
          <w:rFonts w:ascii="Calibri" w:cs="Calibri" w:eastAsia="Calibri" w:hAnsi="Calibri"/>
          <w:color w:val="1A1A2E"/>
          <w:sz w:val="21"/>
          <w:szCs w:val="21"/>
        </w:rPr>
        <w:t xml:space="preserve">Python IS used, but offline only: scikit-learn trains the forecasting model, which is then exported to JSON. No Python runs when a user opens the app.</w:t>
      </w:r>
    </w:p>
    <w:p>
      <w:pPr>
        <w:pBdr>
          <w:bottom w:val="single" w:color="D9D9E3" w:sz="6"/>
        </w:pBdr>
        <w:spacing w:after="180" w:before="60"/>
      </w:pPr>
      <w:r>
        <w:rPr>
          <w:sz w:val="2"/>
          <w:szCs w:val="2"/>
        </w:rPr>
        <w:t xml:space="preserve"/>
      </w:r>
    </w:p>
    <w:p>
      <w:r>
        <w:br w:type="page"/>
      </w:r>
    </w:p>
    <w:p>
      <w:pPr>
        <w:pStyle w:val="Heading1"/>
        <w:spacing w:after="150" w:before="340"/>
      </w:pPr>
      <w:r>
        <w:rPr>
          <w:rFonts w:ascii="Calibri" w:cs="Calibri" w:eastAsia="Calibri" w:hAnsi="Calibri"/>
          <w:b/>
          <w:bCs/>
          <w:color w:val="3B2E86"/>
          <w:sz w:val="30"/>
          <w:szCs w:val="30"/>
        </w:rPr>
        <w:t xml:space="preserve">5.  Tax laws implemented</w:t>
      </w:r>
    </w:p>
    <w:p>
      <w:pPr>
        <w:spacing w:after="120" w:line="276"/>
      </w:pPr>
      <w:r>
        <w:rPr>
          <w:rFonts w:ascii="Calibri" w:cs="Calibri" w:eastAsia="Calibri" w:hAnsi="Calibri"/>
          <w:color w:val="1A1A2E"/>
          <w:sz w:val="21"/>
          <w:szCs w:val="21"/>
        </w:rPr>
        <w:t xml:space="preserve">Everything below is from the Income-tax Act, 1961, as amended by the Finance Act 2025, for FY 2025-26 (AY 2026-27). FY 2024-25 is also supported for comparison and for belated returns.</w:t>
      </w:r>
    </w:p>
    <w:p>
      <w:pPr>
        <w:pStyle w:val="Heading2"/>
        <w:spacing w:after="100" w:before="250"/>
      </w:pPr>
      <w:r>
        <w:rPr>
          <w:rFonts w:ascii="Calibri" w:cs="Calibri" w:eastAsia="Calibri" w:hAnsi="Calibri"/>
          <w:b/>
          <w:bCs/>
          <w:color w:val="1A1A2E"/>
          <w:sz w:val="23"/>
          <w:szCs w:val="23"/>
        </w:rPr>
        <w:t xml:space="preserve">The two regimes</w:t>
      </w:r>
    </w:p>
    <w:tbl>
      <w:tblPr>
        <w:tblW w:type="dxa" w:w="9360"/>
        <w:tblBorders>
          <w:top w:val="single" w:color="D9D9E3" w:sz="2"/>
          <w:left w:val="none" w:sz="0"/>
          <w:bottom w:val="single" w:color="D9D9E3" w:sz="2"/>
          <w:right w:val="none" w:sz="0"/>
          <w:insideH w:val="single" w:color="D9D9E3" w:sz="2"/>
          <w:insideV w:val="none" w:sz="0"/>
        </w:tblBorders>
      </w:tblPr>
      <w:tblGrid>
        <w:gridCol w:w="2000"/>
        <w:gridCol w:w="3680"/>
        <w:gridCol w:w="3680"/>
      </w:tblGrid>
      <w:tr>
        <w:trPr>
          <w:tblHeader/>
        </w:trPr>
        <w:tc>
          <w:tcPr>
            <w:tcW w:type="dxa" w:w="20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
            </w:r>
          </w:p>
        </w:tc>
        <w:tc>
          <w:tcPr>
            <w:tcW w:type="dxa" w:w="368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New regime (default)</w:t>
            </w:r>
          </w:p>
        </w:tc>
        <w:tc>
          <w:tcPr>
            <w:tcW w:type="dxa" w:w="368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Old regime</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Governing section</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s.115BAC(1A)</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Opt out under s.115BAC</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Standard deduction</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Rs.75,000</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Rs.50,000</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Rebate u/s 87A</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Up to Rs.60,000, income to Rs.12 lakh, with marginal relief</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Up to Rs.12,500, income to Rs.5 lakh</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Deductions</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Only 80CCD(2) survives</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All of Chapter VI-A</w:t>
            </w:r>
          </w:p>
        </w:tc>
      </w:tr>
      <w:tr>
        <w:tc>
          <w:tcPr>
            <w:tcW w:type="dxa" w:w="2000"/>
            <w:tcMar>
              <w:top w:type="dxa" w:w="85"/>
              <w:left w:type="dxa" w:w="130"/>
              <w:bottom w:type="dxa" w:w="85"/>
              <w:right w:type="dxa" w:w="130"/>
            </w:tcMar>
          </w:tcPr>
          <w:p>
            <w:pPr>
              <w:spacing w:after="0"/>
            </w:pPr>
            <w:r>
              <w:rPr>
                <w:rFonts w:ascii="Calibri" w:cs="Calibri" w:eastAsia="Calibri" w:hAnsi="Calibri"/>
                <w:color w:val="1A1A2E"/>
                <w:sz w:val="18"/>
                <w:szCs w:val="18"/>
              </w:rPr>
              <w:t xml:space="preserve">Top surcharge</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25%</w:t>
            </w:r>
          </w:p>
        </w:tc>
        <w:tc>
          <w:tcPr>
            <w:tcW w:type="dxa" w:w="3680"/>
            <w:tcMar>
              <w:top w:type="dxa" w:w="85"/>
              <w:left w:type="dxa" w:w="130"/>
              <w:bottom w:type="dxa" w:w="85"/>
              <w:right w:type="dxa" w:w="130"/>
            </w:tcMar>
          </w:tcPr>
          <w:p>
            <w:pPr>
              <w:spacing w:after="0"/>
            </w:pPr>
            <w:r>
              <w:rPr>
                <w:rFonts w:ascii="Calibri" w:cs="Calibri" w:eastAsia="Calibri" w:hAnsi="Calibri"/>
                <w:color w:val="1A1A2E"/>
                <w:sz w:val="18"/>
                <w:szCs w:val="18"/>
              </w:rPr>
              <w:t xml:space="preserve">37%</w:t>
            </w:r>
          </w:p>
        </w:tc>
      </w:tr>
    </w:tbl>
    <w:p>
      <w:pPr>
        <w:pStyle w:val="Heading2"/>
        <w:spacing w:after="100" w:before="250"/>
      </w:pPr>
      <w:r>
        <w:rPr>
          <w:rFonts w:ascii="Calibri" w:cs="Calibri" w:eastAsia="Calibri" w:hAnsi="Calibri"/>
          <w:b/>
          <w:bCs/>
          <w:color w:val="1A1A2E"/>
          <w:sz w:val="23"/>
          <w:szCs w:val="23"/>
        </w:rPr>
        <w:t xml:space="preserve">Deductions and exemptions</w:t>
      </w:r>
    </w:p>
    <w:tbl>
      <w:tblPr>
        <w:tblW w:type="dxa" w:w="9360"/>
        <w:tblBorders>
          <w:top w:val="single" w:color="D9D9E3" w:sz="2"/>
          <w:left w:val="none" w:sz="0"/>
          <w:bottom w:val="single" w:color="D9D9E3" w:sz="2"/>
          <w:right w:val="none" w:sz="0"/>
          <w:insideH w:val="single" w:color="D9D9E3" w:sz="2"/>
          <w:insideV w:val="none" w:sz="0"/>
        </w:tblBorders>
      </w:tblPr>
      <w:tblGrid>
        <w:gridCol w:w="1700"/>
        <w:gridCol w:w="7660"/>
      </w:tblGrid>
      <w:tr>
        <w:trPr>
          <w:tblHeader/>
        </w:trPr>
        <w:tc>
          <w:tcPr>
            <w:tcW w:type="dxa" w:w="17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Area</w:t>
            </w:r>
          </w:p>
        </w:tc>
        <w:tc>
          <w:tcPr>
            <w:tcW w:type="dxa" w:w="76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Sections implemented</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Salary</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s.16(ia) standard deduction, s.16(iii) professional tax, s.10(13A) HRA exemption</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House property</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s.24(a) 30% standard deduction, s.24(b) loan interest, s.71(3A) Rs.2 lakh set-off cap</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Chapter VI-A</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s.80C, s.80CCD(1B), s.80CCD(2), s.80CCE combined ceiling, s.80D, s.80DD, s.80DDB, s.80E, s.80EEB, s.80G, s.80GG, s.80TTA, s.80TTB, s.80U</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Capital gains</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s.111A short term equity, s.112 other assets, s.112A long term equity with the Rs.1.25 lakh exemption</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Business</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s.44AD and s.44ADA presumptive taxation</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Other sources</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s.56, s.57(iia) family pension deduction</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Loss set-off</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s.70, s.71, s.71B</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Rounding</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s.288A, and Rule 119A for interest</w:t>
            </w:r>
          </w:p>
        </w:tc>
      </w:tr>
    </w:tbl>
    <w:p>
      <w:pPr>
        <w:pStyle w:val="Heading2"/>
        <w:spacing w:after="100" w:before="250"/>
      </w:pPr>
      <w:r>
        <w:rPr>
          <w:rFonts w:ascii="Calibri" w:cs="Calibri" w:eastAsia="Calibri" w:hAnsi="Calibri"/>
          <w:b/>
          <w:bCs/>
          <w:color w:val="1A1A2E"/>
          <w:sz w:val="23"/>
          <w:szCs w:val="23"/>
        </w:rPr>
        <w:t xml:space="preserve">Advance tax and interest — where this project goes further than most</w:t>
      </w:r>
    </w:p>
    <w:tbl>
      <w:tblPr>
        <w:tblW w:type="dxa" w:w="9360"/>
        <w:tblBorders>
          <w:top w:val="single" w:color="D9D9E3" w:sz="2"/>
          <w:left w:val="none" w:sz="0"/>
          <w:bottom w:val="single" w:color="D9D9E3" w:sz="2"/>
          <w:right w:val="none" w:sz="0"/>
          <w:insideH w:val="single" w:color="D9D9E3" w:sz="2"/>
          <w:insideV w:val="none" w:sz="0"/>
        </w:tblBorders>
      </w:tblPr>
      <w:tblGrid>
        <w:gridCol w:w="1700"/>
        <w:gridCol w:w="7660"/>
      </w:tblGrid>
      <w:tr>
        <w:trPr>
          <w:tblHeader/>
        </w:trPr>
        <w:tc>
          <w:tcPr>
            <w:tcW w:type="dxa" w:w="17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Section</w:t>
            </w:r>
          </w:p>
        </w:tc>
        <w:tc>
          <w:tcPr>
            <w:tcW w:type="dxa" w:w="76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What it covers</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s.207, s.208, s.211</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Who must pay advance tax, and the 15 / 45 / 75 / 100 instalment ladder</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s.234C</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Interest for missing an instalment, INCLUDING the 12% and 36% safe harbours that waive it entirely, and the fourth proviso that forgives shortfalls caused by capital gains</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s.234B</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Interest for ending the year below 90% paid</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s.244A</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Interest the department pays you on a refund, at half the rate it charges</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Rule 119A</w:t>
            </w:r>
          </w:p>
        </w:tc>
        <w:tc>
          <w:tcPr>
            <w:tcW w:type="dxa" w:w="7660"/>
            <w:tcMar>
              <w:top w:type="dxa" w:w="85"/>
              <w:left w:type="dxa" w:w="130"/>
              <w:bottom w:type="dxa" w:w="85"/>
              <w:right w:type="dxa" w:w="130"/>
            </w:tcMar>
          </w:tcPr>
          <w:p>
            <w:pPr>
              <w:spacing w:after="0"/>
            </w:pPr>
            <w:r>
              <w:rPr>
                <w:rFonts w:ascii="Calibri" w:cs="Calibri" w:eastAsia="Calibri" w:hAnsi="Calibri"/>
                <w:color w:val="1A1A2E"/>
                <w:sz w:val="18"/>
                <w:szCs w:val="18"/>
              </w:rPr>
              <w:t xml:space="preserve">Interest is charged on the shortfall rounded DOWN to the nearest Rs.100, and part of a month counts as a whole month</w:t>
            </w:r>
          </w:p>
        </w:tc>
      </w:tr>
    </w:tbl>
    <w:p>
      <w:pPr>
        <w:pStyle w:val="Heading2"/>
        <w:spacing w:after="100" w:before="250"/>
      </w:pPr>
      <w:r>
        <w:rPr>
          <w:rFonts w:ascii="Calibri" w:cs="Calibri" w:eastAsia="Calibri" w:hAnsi="Calibri"/>
          <w:b/>
          <w:bCs/>
          <w:color w:val="1A1A2E"/>
          <w:sz w:val="23"/>
          <w:szCs w:val="23"/>
        </w:rPr>
        <w:t xml:space="preserve">The rule the project is built around</w:t>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50"/>
              <w:left w:type="dxa" w:w="190"/>
              <w:bottom w:type="dxa" w:w="150"/>
              <w:right w:type="dxa" w:w="190"/>
            </w:tcMar>
          </w:tcPr>
          <w:p>
            <w:pPr>
              <w:spacing w:after="90" w:line="276"/>
            </w:pPr>
            <w:r>
              <w:rPr>
                <w:rFonts w:ascii="Calibri" w:cs="Calibri" w:eastAsia="Calibri" w:hAnsi="Calibri"/>
                <w:b/>
                <w:bCs/>
                <w:color w:val="1A1A2E"/>
                <w:sz w:val="21"/>
                <w:szCs w:val="21"/>
              </w:rPr>
              <w:t xml:space="preserve">Section 115BAC(6). </w:t>
            </w:r>
            <w:r>
              <w:rPr>
                <w:rFonts w:ascii="Calibri" w:cs="Calibri" w:eastAsia="Calibri" w:hAnsi="Calibri"/>
                <w:color w:val="1A1A2E"/>
                <w:sz w:val="21"/>
                <w:szCs w:val="21"/>
              </w:rPr>
              <w:t xml:space="preserve">A salaried person chooses a regime fresh every year. A person with business or professional income cannot: leaving the new regime by filing Form 10-IEA is a once-in-a-lifetime move, and they may return only once before being locked in permanently.</w:t>
            </w:r>
          </w:p>
          <w:p>
            <w:pPr>
              <w:spacing w:after="0" w:line="276"/>
            </w:pPr>
            <w:r>
              <w:rPr>
                <w:rFonts w:ascii="Calibri" w:cs="Calibri" w:eastAsia="Calibri" w:hAnsi="Calibri"/>
                <w:b w:val="function bold() { [native code] }"/>
                <w:bCs w:val="function bold() { [native code] }"/>
                <w:color w:val="1A1A2E"/>
                <w:sz w:val="21"/>
                <w:szCs w:val="21"/>
              </w:rPr>
              <w:t xml:space="preserve">T</w:t>
            </w:r>
          </w:p>
        </w:tc>
      </w:tr>
    </w:tbl>
    <w:p>
      <w:pPr>
        <w:pStyle w:val="Heading2"/>
        <w:spacing w:after="100" w:before="250"/>
      </w:pPr>
      <w:r>
        <w:rPr>
          <w:rFonts w:ascii="Calibri" w:cs="Calibri" w:eastAsia="Calibri" w:hAnsi="Calibri"/>
          <w:b/>
          <w:bCs/>
          <w:color w:val="1A1A2E"/>
          <w:sz w:val="23"/>
          <w:szCs w:val="23"/>
        </w:rPr>
        <w:t xml:space="preserve">Forms the system identifies</w:t>
      </w:r>
    </w:p>
    <w:p>
      <w:pPr>
        <w:spacing w:after="120" w:line="276"/>
      </w:pPr>
      <w:r>
        <w:rPr>
          <w:rFonts w:ascii="Calibri" w:cs="Calibri" w:eastAsia="Calibri" w:hAnsi="Calibri"/>
          <w:color w:val="1A1A2E"/>
          <w:sz w:val="21"/>
          <w:szCs w:val="21"/>
        </w:rPr>
        <w:t xml:space="preserve">ITR-1, ITR-2, ITR-3, ITR-4 and ITR-U; Form 16, 16A, 26AS and AIS/TIS; Form 12BB and 12BAA; Form 10-IEA, 10E, 10BA, 10-IA and 10BE; Form 15G and 15H; Form 67; and Challan 280.</w:t>
      </w:r>
    </w:p>
    <w:p>
      <w:pPr>
        <w:pBdr>
          <w:bottom w:val="single" w:color="D9D9E3" w:sz="6"/>
        </w:pBdr>
        <w:spacing w:after="180" w:before="60"/>
      </w:pPr>
      <w:r>
        <w:rPr>
          <w:sz w:val="2"/>
          <w:szCs w:val="2"/>
        </w:rPr>
        <w:t xml:space="preserve"/>
      </w:r>
    </w:p>
    <w:p>
      <w:pPr>
        <w:pStyle w:val="Heading1"/>
        <w:spacing w:after="150" w:before="340"/>
      </w:pPr>
      <w:r>
        <w:rPr>
          <w:rFonts w:ascii="Calibri" w:cs="Calibri" w:eastAsia="Calibri" w:hAnsi="Calibri"/>
          <w:b/>
          <w:bCs/>
          <w:color w:val="3B2E86"/>
          <w:sz w:val="30"/>
          <w:szCs w:val="30"/>
        </w:rPr>
        <w:t xml:space="preserve">6.  Scope of the project</w:t>
      </w:r>
    </w:p>
    <w:p>
      <w:pPr>
        <w:pStyle w:val="Heading2"/>
        <w:spacing w:after="100" w:before="250"/>
      </w:pPr>
      <w:r>
        <w:rPr>
          <w:rFonts w:ascii="Calibri" w:cs="Calibri" w:eastAsia="Calibri" w:hAnsi="Calibri"/>
          <w:b/>
          <w:bCs/>
          <w:color w:val="1A1A2E"/>
          <w:sz w:val="23"/>
          <w:szCs w:val="23"/>
        </w:rPr>
        <w:t xml:space="preserve">What it does</w:t>
      </w:r>
    </w:p>
    <w:p>
      <w:pPr>
        <w:pStyle w:val="ListParagraph"/>
        <w:numPr>
          <w:ilvl w:val="0"/>
          <w:numId w:val="2"/>
        </w:numPr>
        <w:spacing w:after="70" w:line="276"/>
      </w:pPr>
      <w:r>
        <w:rPr>
          <w:rFonts w:ascii="Calibri" w:cs="Calibri" w:eastAsia="Calibri" w:hAnsi="Calibri"/>
          <w:color w:val="1A1A2E"/>
          <w:sz w:val="21"/>
          <w:szCs w:val="21"/>
        </w:rPr>
        <w:t xml:space="preserve">Computes Indian personal income tax under both regimes, for FY 2025-26 and FY 2024-25.</w:t>
      </w:r>
    </w:p>
    <w:p>
      <w:pPr>
        <w:pStyle w:val="ListParagraph"/>
        <w:numPr>
          <w:ilvl w:val="0"/>
          <w:numId w:val="2"/>
        </w:numPr>
        <w:spacing w:after="70" w:line="276"/>
      </w:pPr>
      <w:r>
        <w:rPr>
          <w:rFonts w:ascii="Calibri" w:cs="Calibri" w:eastAsia="Calibri" w:hAnsi="Calibri"/>
          <w:color w:val="1A1A2E"/>
          <w:sz w:val="21"/>
          <w:szCs w:val="21"/>
        </w:rPr>
        <w:t xml:space="preserve">Handles salary, house property, business and professional income, capital gains and other sources.</w:t>
      </w:r>
    </w:p>
    <w:p>
      <w:pPr>
        <w:pStyle w:val="ListParagraph"/>
        <w:numPr>
          <w:ilvl w:val="0"/>
          <w:numId w:val="2"/>
        </w:numPr>
        <w:spacing w:after="70" w:line="276"/>
      </w:pPr>
      <w:r>
        <w:rPr>
          <w:rFonts w:ascii="Calibri" w:cs="Calibri" w:eastAsia="Calibri" w:hAnsi="Calibri"/>
          <w:color w:val="1A1A2E"/>
          <w:sz w:val="21"/>
          <w:szCs w:val="21"/>
        </w:rPr>
        <w:t xml:space="preserve">Recommends legal tax-saving steps, ranked, with the reasoning and the section shown.</w:t>
      </w:r>
    </w:p>
    <w:p>
      <w:pPr>
        <w:pStyle w:val="ListParagraph"/>
        <w:numPr>
          <w:ilvl w:val="0"/>
          <w:numId w:val="2"/>
        </w:numPr>
        <w:spacing w:after="70" w:line="276"/>
      </w:pPr>
      <w:r>
        <w:rPr>
          <w:rFonts w:ascii="Calibri" w:cs="Calibri" w:eastAsia="Calibri" w:hAnsi="Calibri"/>
          <w:color w:val="1A1A2E"/>
          <w:sz w:val="21"/>
          <w:szCs w:val="21"/>
        </w:rPr>
        <w:t xml:space="preserve">Answers "I have Rs.50,000 left before 31 March — where should it go?" with an exact allocation.</w:t>
      </w:r>
    </w:p>
    <w:p>
      <w:pPr>
        <w:pStyle w:val="ListParagraph"/>
        <w:numPr>
          <w:ilvl w:val="0"/>
          <w:numId w:val="2"/>
        </w:numPr>
        <w:spacing w:after="70" w:line="276"/>
      </w:pPr>
      <w:r>
        <w:rPr>
          <w:rFonts w:ascii="Calibri" w:cs="Calibri" w:eastAsia="Calibri" w:hAnsi="Calibri"/>
          <w:color w:val="1A1A2E"/>
          <w:sz w:val="21"/>
          <w:szCs w:val="21"/>
        </w:rPr>
        <w:t xml:space="preserve">Models six what-if decisions and shows what each would do to your tax.</w:t>
      </w:r>
    </w:p>
    <w:p>
      <w:pPr>
        <w:pStyle w:val="ListParagraph"/>
        <w:numPr>
          <w:ilvl w:val="0"/>
          <w:numId w:val="2"/>
        </w:numPr>
        <w:spacing w:after="70" w:line="276"/>
      </w:pPr>
      <w:r>
        <w:rPr>
          <w:rFonts w:ascii="Calibri" w:cs="Calibri" w:eastAsia="Calibri" w:hAnsi="Calibri"/>
          <w:color w:val="1A1A2E"/>
          <w:sz w:val="21"/>
          <w:szCs w:val="21"/>
        </w:rPr>
        <w:t xml:space="preserve">Values the once-in-a-lifetime regime decision under s.115BAC(6) across an entire career.</w:t>
      </w:r>
    </w:p>
    <w:p>
      <w:pPr>
        <w:pStyle w:val="ListParagraph"/>
        <w:numPr>
          <w:ilvl w:val="0"/>
          <w:numId w:val="2"/>
        </w:numPr>
        <w:spacing w:after="70" w:line="276"/>
      </w:pPr>
      <w:r>
        <w:rPr>
          <w:rFonts w:ascii="Calibri" w:cs="Calibri" w:eastAsia="Calibri" w:hAnsi="Calibri"/>
          <w:color w:val="1A1A2E"/>
          <w:sz w:val="21"/>
          <w:szCs w:val="21"/>
        </w:rPr>
        <w:t xml:space="preserve">Works out advance tax instalments under uncertainty about what you will earn.</w:t>
      </w:r>
    </w:p>
    <w:p>
      <w:pPr>
        <w:pStyle w:val="ListParagraph"/>
        <w:numPr>
          <w:ilvl w:val="0"/>
          <w:numId w:val="2"/>
        </w:numPr>
        <w:spacing w:after="70" w:line="276"/>
      </w:pPr>
      <w:r>
        <w:rPr>
          <w:rFonts w:ascii="Calibri" w:cs="Calibri" w:eastAsia="Calibri" w:hAnsi="Calibri"/>
          <w:color w:val="1A1A2E"/>
          <w:sz w:val="21"/>
          <w:szCs w:val="21"/>
        </w:rPr>
        <w:t xml:space="preserve">Names the ITR form and supporting documents you need.</w:t>
      </w:r>
    </w:p>
    <w:p>
      <w:pPr>
        <w:pStyle w:val="ListParagraph"/>
        <w:numPr>
          <w:ilvl w:val="0"/>
          <w:numId w:val="2"/>
        </w:numPr>
        <w:spacing w:after="70" w:line="276"/>
      </w:pPr>
      <w:r>
        <w:rPr>
          <w:rFonts w:ascii="Calibri" w:cs="Calibri" w:eastAsia="Calibri" w:hAnsi="Calibri"/>
          <w:color w:val="1A1A2E"/>
          <w:sz w:val="21"/>
          <w:szCs w:val="21"/>
        </w:rPr>
        <w:t xml:space="preserve">Presents all of it as charts, and prints to PDF.</w:t>
      </w:r>
    </w:p>
    <w:p>
      <w:pPr>
        <w:pStyle w:val="Heading2"/>
        <w:spacing w:after="100" w:before="250"/>
      </w:pPr>
      <w:r>
        <w:rPr>
          <w:rFonts w:ascii="Calibri" w:cs="Calibri" w:eastAsia="Calibri" w:hAnsi="Calibri"/>
          <w:b/>
          <w:bCs/>
          <w:color w:val="1A1A2E"/>
          <w:sz w:val="23"/>
          <w:szCs w:val="23"/>
        </w:rPr>
        <w:t xml:space="preserve">What it deliberately does not do</w:t>
      </w:r>
    </w:p>
    <w:p>
      <w:pPr>
        <w:pStyle w:val="ListParagraph"/>
        <w:numPr>
          <w:ilvl w:val="0"/>
          <w:numId w:val="2"/>
        </w:numPr>
        <w:spacing w:after="70" w:line="276"/>
      </w:pPr>
      <w:r>
        <w:rPr>
          <w:rFonts w:ascii="Calibri" w:cs="Calibri" w:eastAsia="Calibri" w:hAnsi="Calibri"/>
          <w:color w:val="1A1A2E"/>
          <w:sz w:val="21"/>
          <w:szCs w:val="21"/>
        </w:rPr>
        <w:t xml:space="preserve">Corporate tax, GST, international taxation and double-taxation treaties are out of scope.</w:t>
      </w:r>
    </w:p>
    <w:p>
      <w:pPr>
        <w:pStyle w:val="ListParagraph"/>
        <w:numPr>
          <w:ilvl w:val="0"/>
          <w:numId w:val="2"/>
        </w:numPr>
        <w:spacing w:after="70" w:line="276"/>
      </w:pPr>
      <w:r>
        <w:rPr>
          <w:rFonts w:ascii="Calibri" w:cs="Calibri" w:eastAsia="Calibri" w:hAnsi="Calibri"/>
          <w:color w:val="1A1A2E"/>
          <w:sz w:val="21"/>
          <w:szCs w:val="21"/>
        </w:rPr>
        <w:t xml:space="preserve">It handles one person, not a household. Income splitting across family members, and the s.64 clubbing rules that constrain it, are not modelled.</w:t>
      </w:r>
    </w:p>
    <w:p>
      <w:pPr>
        <w:pStyle w:val="ListParagraph"/>
        <w:numPr>
          <w:ilvl w:val="0"/>
          <w:numId w:val="2"/>
        </w:numPr>
        <w:spacing w:after="70" w:line="276"/>
      </w:pPr>
      <w:r>
        <w:rPr>
          <w:rFonts w:ascii="Calibri" w:cs="Calibri" w:eastAsia="Calibri" w:hAnsi="Calibri"/>
          <w:color w:val="1A1A2E"/>
          <w:sz w:val="21"/>
          <w:szCs w:val="21"/>
        </w:rPr>
        <w:t xml:space="preserve">Losses carried forward from earlier years are not accepted.</w:t>
      </w:r>
    </w:p>
    <w:p>
      <w:pPr>
        <w:pStyle w:val="ListParagraph"/>
        <w:numPr>
          <w:ilvl w:val="0"/>
          <w:numId w:val="2"/>
        </w:numPr>
        <w:spacing w:after="70" w:line="276"/>
      </w:pPr>
      <w:r>
        <w:rPr>
          <w:rFonts w:ascii="Calibri" w:cs="Calibri" w:eastAsia="Calibri" w:hAnsi="Calibri"/>
          <w:color w:val="1A1A2E"/>
          <w:sz w:val="21"/>
          <w:szCs w:val="21"/>
        </w:rPr>
        <w:t xml:space="preserve">Capital gains are entered as totals. There is no lot-by-lot matching, no grandfathering under s.55(2)(ac), and no indexation election.</w:t>
      </w:r>
    </w:p>
    <w:p>
      <w:pPr>
        <w:pStyle w:val="ListParagraph"/>
        <w:numPr>
          <w:ilvl w:val="0"/>
          <w:numId w:val="2"/>
        </w:numPr>
        <w:spacing w:after="70" w:line="276"/>
      </w:pPr>
      <w:r>
        <w:rPr>
          <w:rFonts w:ascii="Calibri" w:cs="Calibri" w:eastAsia="Calibri" w:hAnsi="Calibri"/>
          <w:color w:val="1A1A2E"/>
          <w:sz w:val="21"/>
          <w:szCs w:val="21"/>
        </w:rPr>
        <w:t xml:space="preserve">Sections 54, 54F and 54EC are described but not computed.</w:t>
      </w:r>
    </w:p>
    <w:p>
      <w:pPr>
        <w:pStyle w:val="ListParagraph"/>
        <w:numPr>
          <w:ilvl w:val="0"/>
          <w:numId w:val="2"/>
        </w:numPr>
        <w:spacing w:after="70" w:line="276"/>
      </w:pPr>
      <w:r>
        <w:rPr>
          <w:rFonts w:ascii="Calibri" w:cs="Calibri" w:eastAsia="Calibri" w:hAnsi="Calibri"/>
          <w:color w:val="1A1A2E"/>
          <w:sz w:val="21"/>
          <w:szCs w:val="21"/>
        </w:rPr>
        <w:t xml:space="preserve">No bank, payroll or broker integration. Data is entered by hand or dictated to Claude.</w:t>
      </w:r>
    </w:p>
    <w:p>
      <w:pPr>
        <w:pStyle w:val="ListParagraph"/>
        <w:numPr>
          <w:ilvl w:val="0"/>
          <w:numId w:val="2"/>
        </w:numPr>
        <w:spacing w:after="70" w:line="276"/>
      </w:pPr>
      <w:r>
        <w:rPr>
          <w:rFonts w:ascii="Calibri" w:cs="Calibri" w:eastAsia="Calibri" w:hAnsi="Calibri"/>
          <w:color w:val="1A1A2E"/>
          <w:sz w:val="21"/>
          <w:szCs w:val="21"/>
        </w:rPr>
        <w:t xml:space="preserve">Nothing is saved between sessions.</w:t>
      </w:r>
    </w:p>
    <w:p>
      <w:pPr>
        <w:pStyle w:val="Heading2"/>
        <w:spacing w:after="100" w:before="250"/>
      </w:pPr>
      <w:r>
        <w:rPr>
          <w:rFonts w:ascii="Calibri" w:cs="Calibri" w:eastAsia="Calibri" w:hAnsi="Calibri"/>
          <w:b/>
          <w:bCs/>
          <w:color w:val="1A1A2E"/>
          <w:sz w:val="23"/>
          <w:szCs w:val="23"/>
        </w:rPr>
        <w:t xml:space="preserve">Two limits worth stating plainly</w:t>
      </w:r>
    </w:p>
    <w:tbl>
      <w:tblPr>
        <w:tblW w:type="dxa" w:w="9360"/>
        <w:tblBorders>
          <w:top w:val="single" w:color="C9C2E8" w:sz="2"/>
          <w:left w:val="single" w:color="B45309" w:sz="18"/>
          <w:bottom w:val="single" w:color="C9C2E8" w:sz="2"/>
          <w:right w:val="single" w:color="C9C2E8" w:sz="2"/>
          <w:insideH w:val="none" w:sz="0"/>
          <w:insideV w:val="none" w:sz="0"/>
        </w:tblBorders>
      </w:tblPr>
      <w:tblGrid>
        <w:gridCol w:w="9360"/>
      </w:tblGrid>
      <w:tr>
        <w:tc>
          <w:tcPr>
            <w:tcW w:type="dxa" w:w="9360"/>
            <w:shd w:fill="FDF6EC" w:val="clear"/>
            <w:tcMar>
              <w:top w:type="dxa" w:w="150"/>
              <w:left w:type="dxa" w:w="190"/>
              <w:bottom w:type="dxa" w:w="150"/>
              <w:right w:type="dxa" w:w="190"/>
            </w:tcMar>
          </w:tcPr>
          <w:p>
            <w:pPr>
              <w:spacing w:after="0" w:line="276"/>
            </w:pPr>
            <w:r>
              <w:rPr>
                <w:rFonts w:ascii="Calibri" w:cs="Calibri" w:eastAsia="Calibri" w:hAnsi="Calibri"/>
                <w:b/>
                <w:bCs/>
                <w:color w:val="1A1A2E"/>
                <w:sz w:val="21"/>
                <w:szCs w:val="21"/>
              </w:rPr>
              <w:t xml:space="preserve">The forecasting model is trained on simulated data. </w:t>
            </w:r>
            <w:r>
              <w:rPr>
                <w:rFonts w:ascii="Calibri" w:cs="Calibri" w:eastAsia="Calibri" w:hAnsi="Calibri"/>
                <w:color w:val="1A1A2E"/>
                <w:sz w:val="21"/>
                <w:szCs w:val="21"/>
              </w:rPr>
              <w:t xml:space="preserve">There is no public dataset of individual Indian taxpayers' income histories — it is exactly the data that is protected. So the model is trained on a calibrated synthetic population. The method would transfer to real data; the fitted numbers would not. Always call it a "calibrated synthetic population".</w:t>
            </w:r>
          </w:p>
        </w:tc>
      </w:tr>
    </w:tbl>
    <w:tbl>
      <w:tblPr>
        <w:tblW w:type="dxa" w:w="9360"/>
        <w:tblBorders>
          <w:top w:val="single" w:color="C9C2E8" w:sz="2"/>
          <w:left w:val="single" w:color="B45309" w:sz="18"/>
          <w:bottom w:val="single" w:color="C9C2E8" w:sz="2"/>
          <w:right w:val="single" w:color="C9C2E8" w:sz="2"/>
          <w:insideH w:val="none" w:sz="0"/>
          <w:insideV w:val="none" w:sz="0"/>
        </w:tblBorders>
      </w:tblPr>
      <w:tblGrid>
        <w:gridCol w:w="9360"/>
      </w:tblGrid>
      <w:tr>
        <w:tc>
          <w:tcPr>
            <w:tcW w:type="dxa" w:w="9360"/>
            <w:shd w:fill="FDF6EC" w:val="clear"/>
            <w:tcMar>
              <w:top w:type="dxa" w:w="150"/>
              <w:left w:type="dxa" w:w="190"/>
              <w:bottom w:type="dxa" w:w="150"/>
              <w:right w:type="dxa" w:w="190"/>
            </w:tcMar>
          </w:tcPr>
          <w:p>
            <w:pPr>
              <w:spacing w:after="0" w:line="276"/>
            </w:pPr>
            <w:r>
              <w:rPr>
                <w:rFonts w:ascii="Calibri" w:cs="Calibri" w:eastAsia="Calibri" w:hAnsi="Calibri"/>
                <w:b/>
                <w:bCs/>
                <w:color w:val="1A1A2E"/>
                <w:sz w:val="21"/>
                <w:szCs w:val="21"/>
              </w:rPr>
              <w:t xml:space="preserve">This is a planning tool and a student project. </w:t>
            </w:r>
            <w:r>
              <w:rPr>
                <w:rFonts w:ascii="Calibri" w:cs="Calibri" w:eastAsia="Calibri" w:hAnsi="Calibri"/>
                <w:color w:val="1A1A2E"/>
                <w:sz w:val="21"/>
                <w:szCs w:val="21"/>
              </w:rPr>
              <w:t xml:space="preserve">It is not licensed financial advice and must not be used as a substitute for a Chartered Accountant.</w:t>
            </w:r>
          </w:p>
        </w:tc>
      </w:tr>
    </w:tbl>
    <w:p>
      <w:pPr>
        <w:pBdr>
          <w:bottom w:val="single" w:color="D9D9E3" w:sz="6"/>
        </w:pBdr>
        <w:spacing w:after="180" w:before="60"/>
      </w:pPr>
      <w:r>
        <w:rPr>
          <w:sz w:val="2"/>
          <w:szCs w:val="2"/>
        </w:rPr>
        <w:t xml:space="preserve"/>
      </w:r>
    </w:p>
    <w:p>
      <w:r>
        <w:br w:type="page"/>
      </w:r>
    </w:p>
    <w:p>
      <w:pPr>
        <w:pStyle w:val="Heading1"/>
        <w:spacing w:after="150" w:before="340"/>
      </w:pPr>
      <w:r>
        <w:rPr>
          <w:rFonts w:ascii="Calibri" w:cs="Calibri" w:eastAsia="Calibri" w:hAnsi="Calibri"/>
          <w:b/>
          <w:bCs/>
          <w:color w:val="3B2E86"/>
          <w:sz w:val="30"/>
          <w:szCs w:val="30"/>
        </w:rPr>
        <w:t xml:space="preserve">7.  Questions and answers</w:t>
      </w:r>
    </w:p>
    <w:p>
      <w:pPr>
        <w:spacing w:after="120" w:line="276"/>
      </w:pPr>
      <w:r>
        <w:rPr>
          <w:rFonts w:ascii="Calibri" w:cs="Calibri" w:eastAsia="Calibri" w:hAnsi="Calibri"/>
          <w:i/>
          <w:iCs/>
          <w:color w:val="555566"/>
          <w:sz w:val="21"/>
          <w:szCs w:val="21"/>
        </w:rPr>
        <w:t xml:space="preserve">The questions most likely to be asked, and honest answers to them.</w:t>
      </w:r>
    </w:p>
    <w:p>
      <w:pPr>
        <w:pStyle w:val="Heading2"/>
        <w:spacing w:after="100" w:before="250"/>
      </w:pPr>
      <w:r>
        <w:rPr>
          <w:rFonts w:ascii="Calibri" w:cs="Calibri" w:eastAsia="Calibri" w:hAnsi="Calibri"/>
          <w:b/>
          <w:bCs/>
          <w:color w:val="1A1A2E"/>
          <w:sz w:val="23"/>
          <w:szCs w:val="23"/>
        </w:rPr>
        <w:t xml:space="preserve">About the agents</w:t>
      </w:r>
    </w:p>
    <w:p>
      <w:pPr>
        <w:spacing w:after="60" w:before="180"/>
      </w:pPr>
      <w:r>
        <w:rPr>
          <w:rFonts w:ascii="Calibri" w:cs="Calibri" w:eastAsia="Calibri" w:hAnsi="Calibri"/>
          <w:b/>
          <w:bCs/>
          <w:color w:val="3B2E86"/>
          <w:sz w:val="21"/>
          <w:szCs w:val="21"/>
        </w:rPr>
        <w:t xml:space="preserve">Q.  You call them agents. Are they AI agents?</w:t>
      </w:r>
    </w:p>
    <w:p>
      <w:pPr>
        <w:spacing w:after="60" w:line="276"/>
        <w:ind w:left="300"/>
      </w:pPr>
      <w:r>
        <w:rPr>
          <w:rFonts w:ascii="Calibri" w:cs="Calibri" w:eastAsia="Calibri" w:hAnsi="Calibri"/>
          <w:color w:val="1A1A2E"/>
          <w:sz w:val="21"/>
          <w:szCs w:val="21"/>
        </w:rPr>
        <w:t xml:space="preserve">No, and that is deliberate. They are deterministic software agents in the classical sense — autonomous components with declared inputs, outputs and domain logic. None of them calls a language model. Tax arithmetic from an LLM is wrong at unpredictable moments, and a wrong tax figure delivered fluently is worse than no tool at all.</w:t>
      </w:r>
    </w:p>
    <w:p>
      <w:pPr>
        <w:spacing w:after="60" w:before="180"/>
      </w:pPr>
      <w:r>
        <w:rPr>
          <w:rFonts w:ascii="Calibri" w:cs="Calibri" w:eastAsia="Calibri" w:hAnsi="Calibri"/>
          <w:b/>
          <w:bCs/>
          <w:color w:val="3B2E86"/>
          <w:sz w:val="21"/>
          <w:szCs w:val="21"/>
        </w:rPr>
        <w:t xml:space="preserve">Q.  Then what makes it a multi-agent system rather than just four functions?</w:t>
      </w:r>
    </w:p>
    <w:p>
      <w:pPr>
        <w:spacing w:after="60" w:line="276"/>
        <w:ind w:left="300"/>
      </w:pPr>
      <w:r>
        <w:rPr>
          <w:rFonts w:ascii="Calibri" w:cs="Calibri" w:eastAsia="Calibri" w:hAnsi="Calibri"/>
          <w:color w:val="1A1A2E"/>
          <w:sz w:val="21"/>
          <w:szCs w:val="21"/>
        </w:rPr>
        <w:t xml:space="preserve">Three things. Each agent declares its dependencies rather than being called in a fixed order. The orchestrator works out the running order itself by topological sort, and refuses to run if the graph has a cycle. And the agents communicate over a publish-subscribe bus rather than calling each other directly, which is why you can watch the pipeline run in the app.</w:t>
      </w:r>
    </w:p>
    <w:p>
      <w:pPr>
        <w:spacing w:after="60" w:before="180"/>
      </w:pPr>
      <w:r>
        <w:rPr>
          <w:rFonts w:ascii="Calibri" w:cs="Calibri" w:eastAsia="Calibri" w:hAnsi="Calibri"/>
          <w:b/>
          <w:bCs/>
          <w:color w:val="3B2E86"/>
          <w:sz w:val="21"/>
          <w:szCs w:val="21"/>
        </w:rPr>
        <w:t xml:space="preserve">Q.  What happens if one agent fails?</w:t>
      </w:r>
    </w:p>
    <w:p>
      <w:pPr>
        <w:spacing w:after="60" w:line="276"/>
        <w:ind w:left="300"/>
      </w:pPr>
      <w:r>
        <w:rPr>
          <w:rFonts w:ascii="Calibri" w:cs="Calibri" w:eastAsia="Calibri" w:hAnsi="Calibri"/>
          <w:color w:val="1A1A2E"/>
          <w:sz w:val="21"/>
          <w:szCs w:val="21"/>
        </w:rPr>
        <w:t xml:space="preserve">The orchestrator catches it, publishes an error event naming the agent, and stops. The Data Validation Agent specifically can halt the pipeline on purpose: if your input contains something impossible, such as a negative salary, nothing downstream runs, because every figure it produced would be computed on a number we have already rejected.</w:t>
      </w:r>
    </w:p>
    <w:p>
      <w:pPr>
        <w:spacing w:after="60" w:before="180"/>
      </w:pPr>
      <w:r>
        <w:rPr>
          <w:rFonts w:ascii="Calibri" w:cs="Calibri" w:eastAsia="Calibri" w:hAnsi="Calibri"/>
          <w:b/>
          <w:bCs/>
          <w:color w:val="3B2E86"/>
          <w:sz w:val="21"/>
          <w:szCs w:val="21"/>
        </w:rPr>
        <w:t xml:space="preserve">Q.  Why does the Tax Projection Agent not do its own arithmetic?</w:t>
      </w:r>
    </w:p>
    <w:p>
      <w:pPr>
        <w:spacing w:after="60" w:line="276"/>
        <w:ind w:left="300"/>
      </w:pPr>
      <w:r>
        <w:rPr>
          <w:rFonts w:ascii="Calibri" w:cs="Calibri" w:eastAsia="Calibri" w:hAnsi="Calibri"/>
          <w:color w:val="1A1A2E"/>
          <w:sz w:val="21"/>
          <w:szCs w:val="21"/>
        </w:rPr>
        <w:t xml:space="preserve">Because the tax engine is the single place where the Act lives. If an agent recomputed tax, there would be two copies of the law in the codebase, and two copies always drift apart. There is a test that checks the agent and the engine return exactly the same figure.</w:t>
      </w:r>
    </w:p>
    <w:p>
      <w:pPr>
        <w:pStyle w:val="Heading2"/>
        <w:spacing w:after="100" w:before="250"/>
      </w:pPr>
      <w:r>
        <w:rPr>
          <w:rFonts w:ascii="Calibri" w:cs="Calibri" w:eastAsia="Calibri" w:hAnsi="Calibri"/>
          <w:b/>
          <w:bCs/>
          <w:color w:val="1A1A2E"/>
          <w:sz w:val="23"/>
          <w:szCs w:val="23"/>
        </w:rPr>
        <w:t xml:space="preserve">About the AI</w:t>
      </w:r>
    </w:p>
    <w:p>
      <w:pPr>
        <w:spacing w:after="60" w:before="180"/>
      </w:pPr>
      <w:r>
        <w:rPr>
          <w:rFonts w:ascii="Calibri" w:cs="Calibri" w:eastAsia="Calibri" w:hAnsi="Calibri"/>
          <w:b/>
          <w:bCs/>
          <w:color w:val="3B2E86"/>
          <w:sz w:val="21"/>
          <w:szCs w:val="21"/>
        </w:rPr>
        <w:t xml:space="preserve">Q.  Where is the AI in this project?</w:t>
      </w:r>
    </w:p>
    <w:p>
      <w:pPr>
        <w:spacing w:after="60" w:line="276"/>
        <w:ind w:left="300"/>
      </w:pPr>
      <w:r>
        <w:rPr>
          <w:rFonts w:ascii="Calibri" w:cs="Calibri" w:eastAsia="Calibri" w:hAnsi="Calibri"/>
          <w:color w:val="1A1A2E"/>
          <w:sz w:val="21"/>
          <w:szCs w:val="21"/>
        </w:rPr>
        <w:t xml:space="preserve">In two separate places. Claude Sonnet 5 reads plain English and fills the form. Separately, a machine learning model — gradient-boosted quantile regression — forecasts next year's income, which two of the advanced features need. Neither of them computes tax.</w:t>
      </w:r>
    </w:p>
    <w:p>
      <w:pPr>
        <w:spacing w:after="60" w:before="180"/>
      </w:pPr>
      <w:r>
        <w:rPr>
          <w:rFonts w:ascii="Calibri" w:cs="Calibri" w:eastAsia="Calibri" w:hAnsi="Calibri"/>
          <w:b/>
          <w:bCs/>
          <w:color w:val="3B2E86"/>
          <w:sz w:val="21"/>
          <w:szCs w:val="21"/>
        </w:rPr>
        <w:t xml:space="preserve">Q.  How do you stop the LLM hallucinating?</w:t>
      </w:r>
    </w:p>
    <w:p>
      <w:pPr>
        <w:spacing w:after="60" w:line="276"/>
        <w:ind w:left="300"/>
      </w:pPr>
      <w:r>
        <w:rPr>
          <w:rFonts w:ascii="Calibri" w:cs="Calibri" w:eastAsia="Calibri" w:hAnsi="Calibri"/>
          <w:color w:val="1A1A2E"/>
          <w:sz w:val="21"/>
          <w:szCs w:val="21"/>
        </w:rPr>
        <w:t xml:space="preserve">Three layers. It must answer through a tool definition, so there is no free-text path into the data. Every field it returns is validated and anything unrecognised is dropped rather than merged. And any section of the Act it cites is checked against our rulebook and flagged if we do not implement it. You can see all three working in the app — we test them with a deliberately bad response.</w:t>
      </w:r>
    </w:p>
    <w:p>
      <w:pPr>
        <w:spacing w:after="60" w:before="180"/>
      </w:pPr>
      <w:r>
        <w:rPr>
          <w:rFonts w:ascii="Calibri" w:cs="Calibri" w:eastAsia="Calibri" w:hAnsi="Calibri"/>
          <w:b/>
          <w:bCs/>
          <w:color w:val="3B2E86"/>
          <w:sz w:val="21"/>
          <w:szCs w:val="21"/>
        </w:rPr>
        <w:t xml:space="preserve">Q.  Why predict a distribution rather than just next year's income?</w:t>
      </w:r>
    </w:p>
    <w:p>
      <w:pPr>
        <w:spacing w:after="60" w:line="276"/>
        <w:ind w:left="300"/>
      </w:pPr>
      <w:r>
        <w:rPr>
          <w:rFonts w:ascii="Calibri" w:cs="Calibri" w:eastAsia="Calibri" w:hAnsi="Calibri"/>
          <w:color w:val="1A1A2E"/>
          <w:sz w:val="21"/>
          <w:szCs w:val="21"/>
        </w:rPr>
        <w:t xml:space="preserve">Because a single number is useless for the decisions we make with it. Advance tax needs the 67th percentile, not the average, because underpaying costs about twice what overpaying costs. The regime model needs to average over every income you might land on. Both need the shape of the uncertainty.</w:t>
      </w:r>
    </w:p>
    <w:p>
      <w:pPr>
        <w:spacing w:after="60" w:before="180"/>
      </w:pPr>
      <w:r>
        <w:rPr>
          <w:rFonts w:ascii="Calibri" w:cs="Calibri" w:eastAsia="Calibri" w:hAnsi="Calibri"/>
          <w:b/>
          <w:bCs/>
          <w:color w:val="3B2E86"/>
          <w:sz w:val="21"/>
          <w:szCs w:val="21"/>
        </w:rPr>
        <w:t xml:space="preserve">Q.  Is the model trained on real taxpayer data?</w:t>
      </w:r>
    </w:p>
    <w:p>
      <w:pPr>
        <w:spacing w:after="60" w:line="276"/>
        <w:ind w:left="300"/>
      </w:pPr>
      <w:r>
        <w:rPr>
          <w:rFonts w:ascii="Calibri" w:cs="Calibri" w:eastAsia="Calibri" w:hAnsi="Calibri"/>
          <w:color w:val="1A1A2E"/>
          <w:sz w:val="21"/>
          <w:szCs w:val="21"/>
        </w:rPr>
        <w:t xml:space="preserve">No. There is no public dataset of individual Indian income histories, for good privacy reasons. It is trained on a calibrated synthetic population that we generate. The generation rules encode facts that are not in dispute — incomes compound, growth slows with age, self-employment is more volatile — but the exact magnitudes are assumptions, and they are written as named constants so they can be argued with.</w:t>
      </w:r>
    </w:p>
    <w:p>
      <w:pPr>
        <w:spacing w:after="60" w:before="180"/>
      </w:pPr>
      <w:r>
        <w:rPr>
          <w:rFonts w:ascii="Calibri" w:cs="Calibri" w:eastAsia="Calibri" w:hAnsi="Calibri"/>
          <w:b/>
          <w:bCs/>
          <w:color w:val="3B2E86"/>
          <w:sz w:val="21"/>
          <w:szCs w:val="21"/>
        </w:rPr>
        <w:t xml:space="preserve">Q.  Does the machine learning actually improve anything, or is it decoration?</w:t>
      </w:r>
    </w:p>
    <w:p>
      <w:pPr>
        <w:spacing w:after="60" w:line="276"/>
        <w:ind w:left="300"/>
      </w:pPr>
      <w:r>
        <w:rPr>
          <w:rFonts w:ascii="Calibri" w:cs="Calibri" w:eastAsia="Calibri" w:hAnsi="Calibri"/>
          <w:color w:val="1A1A2E"/>
          <w:sz w:val="21"/>
          <w:szCs w:val="21"/>
        </w:rPr>
        <w:t xml:space="preserve">It improves the forecast by 5.6% on pinball loss, and is worth about Rs.1,477 per taxpayer per year measured against income that actually happened. The mechanism is visible: the simple baseline underestimates how spread out incomes are, so it has to over-pay at the 72nd percentile to be safe, where the trained model gets the same safety at the median.</w:t>
      </w:r>
    </w:p>
    <w:p>
      <w:pPr>
        <w:pStyle w:val="Heading2"/>
        <w:spacing w:after="100" w:before="250"/>
      </w:pPr>
      <w:r>
        <w:rPr>
          <w:rFonts w:ascii="Calibri" w:cs="Calibri" w:eastAsia="Calibri" w:hAnsi="Calibri"/>
          <w:b/>
          <w:bCs/>
          <w:color w:val="1A1A2E"/>
          <w:sz w:val="23"/>
          <w:szCs w:val="23"/>
        </w:rPr>
        <w:t xml:space="preserve">About the technology</w:t>
      </w:r>
    </w:p>
    <w:p>
      <w:pPr>
        <w:spacing w:after="60" w:before="180"/>
      </w:pPr>
      <w:r>
        <w:rPr>
          <w:rFonts w:ascii="Calibri" w:cs="Calibri" w:eastAsia="Calibri" w:hAnsi="Calibri"/>
          <w:b/>
          <w:bCs/>
          <w:color w:val="3B2E86"/>
          <w:sz w:val="21"/>
          <w:szCs w:val="21"/>
        </w:rPr>
        <w:t xml:space="preserve">Q.  Why no React, when the report specifies it?</w:t>
      </w:r>
    </w:p>
    <w:p>
      <w:pPr>
        <w:spacing w:after="60" w:line="276"/>
        <w:ind w:left="300"/>
      </w:pPr>
      <w:r>
        <w:rPr>
          <w:rFonts w:ascii="Calibri" w:cs="Calibri" w:eastAsia="Calibri" w:hAnsi="Calibri"/>
          <w:color w:val="1A1A2E"/>
          <w:sz w:val="21"/>
          <w:szCs w:val="21"/>
        </w:rPr>
        <w:t xml:space="preserve">A framework needs a build step, a package manager and a dependency tree. This application has none of those, which is what lets it run by opening a folder with nothing installed and nothing transmitted. For a tool handling personal financial data that property is the strongest claim it makes, and we judged it worth more than the convenience of a framework. It is a real deviation from the report and we state it rather than hide it.</w:t>
      </w:r>
    </w:p>
    <w:p>
      <w:pPr>
        <w:spacing w:after="60" w:before="180"/>
      </w:pPr>
      <w:r>
        <w:rPr>
          <w:rFonts w:ascii="Calibri" w:cs="Calibri" w:eastAsia="Calibri" w:hAnsi="Calibri"/>
          <w:b/>
          <w:bCs/>
          <w:color w:val="3B2E86"/>
          <w:sz w:val="21"/>
          <w:szCs w:val="21"/>
        </w:rPr>
        <w:t xml:space="preserve">Q.  What is the downside of that choice?</w:t>
      </w:r>
    </w:p>
    <w:p>
      <w:pPr>
        <w:spacing w:after="60" w:line="276"/>
        <w:ind w:left="300"/>
      </w:pPr>
      <w:r>
        <w:rPr>
          <w:rFonts w:ascii="Calibri" w:cs="Calibri" w:eastAsia="Calibri" w:hAnsi="Calibri"/>
          <w:color w:val="1A1A2E"/>
          <w:sz w:val="21"/>
          <w:szCs w:val="21"/>
        </w:rPr>
        <w:t xml:space="preserve">Plain JavaScript on one page does not scale to a large team. Every module shares one global scope, which caused two real bugs — two files declaring the same name, once stopping the page dead and once silently calling the wrong function with the wrong arguments. There is now a test that parses the sources the way the browser loads them and fails on any duplicate name.</w:t>
      </w:r>
    </w:p>
    <w:p>
      <w:pPr>
        <w:spacing w:after="60" w:before="180"/>
      </w:pPr>
      <w:r>
        <w:rPr>
          <w:rFonts w:ascii="Calibri" w:cs="Calibri" w:eastAsia="Calibri" w:hAnsi="Calibri"/>
          <w:b/>
          <w:bCs/>
          <w:color w:val="3B2E86"/>
          <w:sz w:val="21"/>
          <w:szCs w:val="21"/>
        </w:rPr>
        <w:t xml:space="preserve">Q.  Why write the charts by hand instead of using a library?</w:t>
      </w:r>
    </w:p>
    <w:p>
      <w:pPr>
        <w:spacing w:after="60" w:line="276"/>
        <w:ind w:left="300"/>
      </w:pPr>
      <w:r>
        <w:rPr>
          <w:rFonts w:ascii="Calibri" w:cs="Calibri" w:eastAsia="Calibri" w:hAnsi="Calibri"/>
          <w:color w:val="1A1A2E"/>
          <w:sz w:val="21"/>
          <w:szCs w:val="21"/>
        </w:rPr>
        <w:t xml:space="preserve">Five charts is about 350 lines of SVG. Adding a charting library would mean adding a bundler and a dependency tree to draw them, and the hand-written versions print correctly, which matters because the report is meant to be printable.</w:t>
      </w:r>
    </w:p>
    <w:p>
      <w:pPr>
        <w:pStyle w:val="Heading2"/>
        <w:spacing w:after="100" w:before="250"/>
      </w:pPr>
      <w:r>
        <w:rPr>
          <w:rFonts w:ascii="Calibri" w:cs="Calibri" w:eastAsia="Calibri" w:hAnsi="Calibri"/>
          <w:b/>
          <w:bCs/>
          <w:color w:val="1A1A2E"/>
          <w:sz w:val="23"/>
          <w:szCs w:val="23"/>
        </w:rPr>
        <w:t xml:space="preserve">About the tax</w:t>
      </w:r>
    </w:p>
    <w:p>
      <w:pPr>
        <w:spacing w:after="60" w:before="180"/>
      </w:pPr>
      <w:r>
        <w:rPr>
          <w:rFonts w:ascii="Calibri" w:cs="Calibri" w:eastAsia="Calibri" w:hAnsi="Calibri"/>
          <w:b/>
          <w:bCs/>
          <w:color w:val="3B2E86"/>
          <w:sz w:val="21"/>
          <w:szCs w:val="21"/>
        </w:rPr>
        <w:t xml:space="preserve">Q.  Which regime does it recommend?</w:t>
      </w:r>
    </w:p>
    <w:p>
      <w:pPr>
        <w:spacing w:after="60" w:line="276"/>
        <w:ind w:left="300"/>
      </w:pPr>
      <w:r>
        <w:rPr>
          <w:rFonts w:ascii="Calibri" w:cs="Calibri" w:eastAsia="Calibri" w:hAnsi="Calibri"/>
          <w:color w:val="1A1A2E"/>
          <w:sz w:val="21"/>
          <w:szCs w:val="21"/>
        </w:rPr>
        <w:t xml:space="preserve">Whichever is cheaper AFTER optimising both to their own ceiling — not before. That ordering matters: a regime that loses today can win comfortably once the deductions it allows are actually used. For one of our sample taxpayers the recommendation reverses when you optimise first.</w:t>
      </w:r>
    </w:p>
    <w:p>
      <w:pPr>
        <w:spacing w:after="60" w:before="180"/>
      </w:pPr>
      <w:r>
        <w:rPr>
          <w:rFonts w:ascii="Calibri" w:cs="Calibri" w:eastAsia="Calibri" w:hAnsi="Calibri"/>
          <w:b/>
          <w:bCs/>
          <w:color w:val="3B2E86"/>
          <w:sz w:val="21"/>
          <w:szCs w:val="21"/>
        </w:rPr>
        <w:t xml:space="preserve">Q.  What is section 115BAC(6) and why do you keep mentioning it?</w:t>
      </w:r>
    </w:p>
    <w:p>
      <w:pPr>
        <w:spacing w:after="60" w:line="276"/>
        <w:ind w:left="300"/>
      </w:pPr>
      <w:r>
        <w:rPr>
          <w:rFonts w:ascii="Calibri" w:cs="Calibri" w:eastAsia="Calibri" w:hAnsi="Calibri"/>
          <w:color w:val="1A1A2E"/>
          <w:sz w:val="21"/>
          <w:szCs w:val="21"/>
        </w:rPr>
        <w:t xml:space="preserve">It is the rule that makes leaving the new regime a once-in-a-lifetime move for anyone with business or professional income. It means their regime choice is not a comparison but an irreversible decision, which is why we model it across a whole career instead of one year. For our demonstration case the old regime saves Rs.23,400 this year and the correct advice is still to not take it.</w:t>
      </w:r>
    </w:p>
    <w:p>
      <w:pPr>
        <w:spacing w:after="60" w:before="180"/>
      </w:pPr>
      <w:r>
        <w:rPr>
          <w:rFonts w:ascii="Calibri" w:cs="Calibri" w:eastAsia="Calibri" w:hAnsi="Calibri"/>
          <w:b/>
          <w:bCs/>
          <w:color w:val="3B2E86"/>
          <w:sz w:val="21"/>
          <w:szCs w:val="21"/>
        </w:rPr>
        <w:t xml:space="preserve">Q.  Why does it tell people to pay MORE advance tax than they expect to owe?</w:t>
      </w:r>
    </w:p>
    <w:p>
      <w:pPr>
        <w:spacing w:after="60" w:line="276"/>
        <w:ind w:left="300"/>
      </w:pPr>
      <w:r>
        <w:rPr>
          <w:rFonts w:ascii="Calibri" w:cs="Calibri" w:eastAsia="Calibri" w:hAnsi="Calibri"/>
          <w:color w:val="1A1A2E"/>
          <w:sz w:val="21"/>
          <w:szCs w:val="21"/>
        </w:rPr>
        <w:t xml:space="preserve">Because the penalties are asymmetric. Underpaying costs 1% a month; overpaying earns back only 0.5%. That is the newsvendor problem from operations research, and its solution is a quantile of the distribution, not the average. Measured on the real statutory rules, the right point is about the 67th percentile.</w:t>
      </w:r>
    </w:p>
    <w:p>
      <w:pPr>
        <w:spacing w:after="60" w:before="180"/>
      </w:pPr>
      <w:r>
        <w:rPr>
          <w:rFonts w:ascii="Calibri" w:cs="Calibri" w:eastAsia="Calibri" w:hAnsi="Calibri"/>
          <w:b/>
          <w:bCs/>
          <w:color w:val="3B2E86"/>
          <w:sz w:val="21"/>
          <w:szCs w:val="21"/>
        </w:rPr>
        <w:t xml:space="preserve">Q.  Does it ever recommend donating to charity to save tax?</w:t>
      </w:r>
    </w:p>
    <w:p>
      <w:pPr>
        <w:spacing w:after="60" w:line="276"/>
        <w:ind w:left="300"/>
      </w:pPr>
      <w:r>
        <w:rPr>
          <w:rFonts w:ascii="Calibri" w:cs="Calibri" w:eastAsia="Calibri" w:hAnsi="Calibri"/>
          <w:color w:val="1A1A2E"/>
          <w:sz w:val="21"/>
          <w:szCs w:val="21"/>
        </w:rPr>
        <w:t xml:space="preserve">No, and it is offered the option deliberately so that refusing is a real refusal. A rupee given away saves you at most thirty paise, so you are seventy paise worse off. Our optimiser minimises tax PLUS what the action actually costs you, which is why it declines. A tool that minimised tax alone would recommend giving all your money away and report it as a success.</w:t>
      </w:r>
    </w:p>
    <w:p>
      <w:pPr>
        <w:spacing w:after="60" w:before="180"/>
      </w:pPr>
      <w:r>
        <w:rPr>
          <w:rFonts w:ascii="Calibri" w:cs="Calibri" w:eastAsia="Calibri" w:hAnsi="Calibri"/>
          <w:b/>
          <w:bCs/>
          <w:color w:val="3B2E86"/>
          <w:sz w:val="21"/>
          <w:szCs w:val="21"/>
        </w:rPr>
        <w:t xml:space="preserve">Q.  How accurate is it?</w:t>
      </w:r>
    </w:p>
    <w:p>
      <w:pPr>
        <w:spacing w:after="60" w:line="276"/>
        <w:ind w:left="300"/>
      </w:pPr>
      <w:r>
        <w:rPr>
          <w:rFonts w:ascii="Calibri" w:cs="Calibri" w:eastAsia="Calibri" w:hAnsi="Calibri"/>
          <w:color w:val="1A1A2E"/>
          <w:sz w:val="21"/>
          <w:szCs w:val="21"/>
        </w:rPr>
        <w:t xml:space="preserve">220 automated tests, including figures worked out by hand from the bare text of each section. Where the report claims 100% accuracy on validated profiles, that is what the regression suite checks on every run.</w:t>
      </w:r>
    </w:p>
    <w:p>
      <w:pPr>
        <w:pStyle w:val="Heading2"/>
        <w:spacing w:after="100" w:before="250"/>
      </w:pPr>
      <w:r>
        <w:rPr>
          <w:rFonts w:ascii="Calibri" w:cs="Calibri" w:eastAsia="Calibri" w:hAnsi="Calibri"/>
          <w:b/>
          <w:bCs/>
          <w:color w:val="1A1A2E"/>
          <w:sz w:val="23"/>
          <w:szCs w:val="23"/>
        </w:rPr>
        <w:t xml:space="preserve">About the limits</w:t>
      </w:r>
    </w:p>
    <w:p>
      <w:pPr>
        <w:spacing w:after="60" w:before="180"/>
      </w:pPr>
      <w:r>
        <w:rPr>
          <w:rFonts w:ascii="Calibri" w:cs="Calibri" w:eastAsia="Calibri" w:hAnsi="Calibri"/>
          <w:b/>
          <w:bCs/>
          <w:color w:val="3B2E86"/>
          <w:sz w:val="21"/>
          <w:szCs w:val="21"/>
        </w:rPr>
        <w:t xml:space="preserve">Q.  What is the weakest part of the project?</w:t>
      </w:r>
    </w:p>
    <w:p>
      <w:pPr>
        <w:spacing w:after="60" w:line="276"/>
        <w:ind w:left="300"/>
      </w:pPr>
      <w:r>
        <w:rPr>
          <w:rFonts w:ascii="Calibri" w:cs="Calibri" w:eastAsia="Calibri" w:hAnsi="Calibri"/>
          <w:color w:val="1A1A2E"/>
          <w:sz w:val="21"/>
          <w:szCs w:val="21"/>
        </w:rPr>
        <w:t xml:space="preserve">The forecasting model is trained on synthetic data, so its numbers would not transfer to reality unchanged. And the cost figures behind the allocator — 3% for ELSS, 10% for NPS — are reasoned assumptions rather than measurements. Both are written openly in one place so they can be challenged and changed.</w:t>
      </w:r>
    </w:p>
    <w:p>
      <w:pPr>
        <w:spacing w:after="60" w:before="180"/>
      </w:pPr>
      <w:r>
        <w:rPr>
          <w:rFonts w:ascii="Calibri" w:cs="Calibri" w:eastAsia="Calibri" w:hAnsi="Calibri"/>
          <w:b/>
          <w:bCs/>
          <w:color w:val="3B2E86"/>
          <w:sz w:val="21"/>
          <w:szCs w:val="21"/>
        </w:rPr>
        <w:t xml:space="preserve">Q.  What would you build next?</w:t>
      </w:r>
    </w:p>
    <w:p>
      <w:pPr>
        <w:spacing w:after="60" w:line="276"/>
        <w:ind w:left="300"/>
      </w:pPr>
      <w:r>
        <w:rPr>
          <w:rFonts w:ascii="Calibri" w:cs="Calibri" w:eastAsia="Calibri" w:hAnsi="Calibri"/>
          <w:color w:val="1A1A2E"/>
          <w:sz w:val="21"/>
          <w:szCs w:val="21"/>
        </w:rPr>
        <w:t xml:space="preserve">Household optimisation. Right now it handles one person; real tax planning happens across a family, constrained by the section 64 clubbing rules. That is a genuinely harder problem and it is the most valuable thing still missing.</w:t>
      </w:r>
    </w:p>
    <w:p>
      <w:pPr>
        <w:pBdr>
          <w:bottom w:val="single" w:color="D9D9E3" w:sz="6"/>
        </w:pBdr>
        <w:spacing w:after="180" w:before="60"/>
      </w:pPr>
      <w:r>
        <w:rPr>
          <w:sz w:val="2"/>
          <w:szCs w:val="2"/>
        </w:rPr>
        <w:t xml:space="preserve"/>
      </w:r>
    </w:p>
    <w:p>
      <w:r>
        <w:br w:type="page"/>
      </w:r>
    </w:p>
    <w:p>
      <w:pPr>
        <w:pStyle w:val="Heading1"/>
        <w:spacing w:after="150" w:before="340"/>
      </w:pPr>
      <w:r>
        <w:rPr>
          <w:rFonts w:ascii="Calibri" w:cs="Calibri" w:eastAsia="Calibri" w:hAnsi="Calibri"/>
          <w:b/>
          <w:bCs/>
          <w:color w:val="3B2E86"/>
          <w:sz w:val="30"/>
          <w:szCs w:val="30"/>
        </w:rPr>
        <w:t xml:space="preserve">8.  The project in simple words</w:t>
      </w:r>
    </w:p>
    <w:p>
      <w:pPr>
        <w:spacing w:after="120" w:line="276"/>
      </w:pPr>
      <w:r>
        <w:rPr>
          <w:rFonts w:ascii="Calibri" w:cs="Calibri" w:eastAsia="Calibri" w:hAnsi="Calibri"/>
          <w:i/>
          <w:iCs/>
          <w:color w:val="555566"/>
          <w:sz w:val="21"/>
          <w:szCs w:val="21"/>
        </w:rPr>
        <w:t xml:space="preserve">If you read only one page, read this one.</w:t>
      </w:r>
    </w:p>
    <w:p>
      <w:pPr>
        <w:pStyle w:val="Heading2"/>
        <w:spacing w:after="100" w:before="250"/>
      </w:pPr>
      <w:r>
        <w:rPr>
          <w:rFonts w:ascii="Calibri" w:cs="Calibri" w:eastAsia="Calibri" w:hAnsi="Calibri"/>
          <w:b/>
          <w:bCs/>
          <w:color w:val="1A1A2E"/>
          <w:sz w:val="23"/>
          <w:szCs w:val="23"/>
        </w:rPr>
        <w:t xml:space="preserve">The problem</w:t>
      </w:r>
    </w:p>
    <w:p>
      <w:pPr>
        <w:spacing w:after="120" w:line="276"/>
      </w:pPr>
      <w:r>
        <w:rPr>
          <w:rFonts w:ascii="Calibri" w:cs="Calibri" w:eastAsia="Calibri" w:hAnsi="Calibri"/>
          <w:color w:val="1A1A2E"/>
          <w:sz w:val="21"/>
          <w:szCs w:val="21"/>
        </w:rPr>
        <w:t xml:space="preserve">Every working person in India has to answer two questions each year: how much tax do I owe, and can I legally pay less? Answering them properly needs a Chartered Accountant, and most people cannot afford one. So most people guess, leave it to March, and pay more than they had to.</w:t>
      </w:r>
    </w:p>
    <w:p>
      <w:pPr>
        <w:pStyle w:val="Heading2"/>
        <w:spacing w:after="100" w:before="250"/>
      </w:pPr>
      <w:r>
        <w:rPr>
          <w:rFonts w:ascii="Calibri" w:cs="Calibri" w:eastAsia="Calibri" w:hAnsi="Calibri"/>
          <w:b/>
          <w:bCs/>
          <w:color w:val="1A1A2E"/>
          <w:sz w:val="23"/>
          <w:szCs w:val="23"/>
        </w:rPr>
        <w:t xml:space="preserve">What we built</w:t>
      </w:r>
    </w:p>
    <w:p>
      <w:pPr>
        <w:spacing w:after="120" w:line="276"/>
      </w:pPr>
      <w:r>
        <w:rPr>
          <w:rFonts w:ascii="Calibri" w:cs="Calibri" w:eastAsia="Calibri" w:hAnsi="Calibri"/>
          <w:color w:val="1A1A2E"/>
          <w:sz w:val="21"/>
          <w:szCs w:val="21"/>
        </w:rPr>
        <w:t xml:space="preserve">A website that asks you a few questions about your income and then does what a good accountant would do. It tells you what you owe, which of the two tax systems suits you, exactly what to invest in and how much, what would happen if you took a home loan or got a raise, and which forms you need to file. It shows all of it as charts.</w:t>
      </w:r>
    </w:p>
    <w:p>
      <w:pPr>
        <w:spacing w:after="120" w:line="276"/>
      </w:pPr>
      <w:r>
        <w:rPr>
          <w:rFonts w:ascii="Calibri" w:cs="Calibri" w:eastAsia="Calibri" w:hAnsi="Calibri"/>
          <w:color w:val="1A1A2E"/>
          <w:sz w:val="21"/>
          <w:szCs w:val="21"/>
        </w:rPr>
        <w:t xml:space="preserve">You can also just describe your situation in a sentence and let Claude fill the form for you.</w:t>
      </w:r>
    </w:p>
    <w:p>
      <w:pPr>
        <w:pStyle w:val="Heading2"/>
        <w:spacing w:after="100" w:before="250"/>
      </w:pPr>
      <w:r>
        <w:rPr>
          <w:rFonts w:ascii="Calibri" w:cs="Calibri" w:eastAsia="Calibri" w:hAnsi="Calibri"/>
          <w:b/>
          <w:bCs/>
          <w:color w:val="1A1A2E"/>
          <w:sz w:val="23"/>
          <w:szCs w:val="23"/>
        </w:rPr>
        <w:t xml:space="preserve">How it works, in four steps</w:t>
      </w:r>
    </w:p>
    <w:tbl>
      <w:tblPr>
        <w:tblW w:type="dxa" w:w="9360"/>
        <w:tblBorders>
          <w:top w:val="single" w:color="D9D9E3" w:sz="2"/>
          <w:left w:val="none" w:sz="0"/>
          <w:bottom w:val="single" w:color="D9D9E3" w:sz="2"/>
          <w:right w:val="none" w:sz="0"/>
          <w:insideH w:val="single" w:color="D9D9E3" w:sz="2"/>
          <w:insideV w:val="none" w:sz="0"/>
        </w:tblBorders>
      </w:tblPr>
      <w:tblGrid>
        <w:gridCol w:w="1500"/>
        <w:gridCol w:w="7860"/>
      </w:tblGrid>
      <w:tr>
        <w:trPr>
          <w:tblHeader/>
        </w:trPr>
        <w:tc>
          <w:tcPr>
            <w:tcW w:type="dxa" w:w="15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Step</w:t>
            </w:r>
          </w:p>
        </w:tc>
        <w:tc>
          <w:tcPr>
            <w:tcW w:type="dxa" w:w="78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What happens</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1. Check</w:t>
            </w:r>
          </w:p>
        </w:tc>
        <w:tc>
          <w:tcPr>
            <w:tcW w:type="dxa" w:w="7860"/>
            <w:tcMar>
              <w:top w:type="dxa" w:w="85"/>
              <w:left w:type="dxa" w:w="130"/>
              <w:bottom w:type="dxa" w:w="85"/>
              <w:right w:type="dxa" w:w="130"/>
            </w:tcMar>
          </w:tcPr>
          <w:p>
            <w:pPr>
              <w:spacing w:after="0"/>
            </w:pPr>
            <w:r>
              <w:rPr>
                <w:rFonts w:ascii="Calibri" w:cs="Calibri" w:eastAsia="Calibri" w:hAnsi="Calibri"/>
                <w:color w:val="1A1A2E"/>
                <w:sz w:val="18"/>
                <w:szCs w:val="18"/>
              </w:rPr>
              <w:t xml:space="preserve">The first agent checks what you typed. Negative salary? Rejected. Claiming HRA but paying no rent? It warns you. It also measures how much of each deduction limit you have actually used — most people use about half.</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2. Compute</w:t>
            </w:r>
          </w:p>
        </w:tc>
        <w:tc>
          <w:tcPr>
            <w:tcW w:type="dxa" w:w="7860"/>
            <w:tcMar>
              <w:top w:type="dxa" w:w="85"/>
              <w:left w:type="dxa" w:w="130"/>
              <w:bottom w:type="dxa" w:w="85"/>
              <w:right w:type="dxa" w:w="130"/>
            </w:tcMar>
          </w:tcPr>
          <w:p>
            <w:pPr>
              <w:spacing w:after="0"/>
            </w:pPr>
            <w:r>
              <w:rPr>
                <w:rFonts w:ascii="Calibri" w:cs="Calibri" w:eastAsia="Calibri" w:hAnsi="Calibri"/>
                <w:color w:val="1A1A2E"/>
                <w:sz w:val="18"/>
                <w:szCs w:val="18"/>
              </w:rPr>
              <w:t xml:space="preserve">The second agent calculates your tax under both the old and new systems, following the Income-tax Act step by step.</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3. Explore</w:t>
            </w:r>
          </w:p>
        </w:tc>
        <w:tc>
          <w:tcPr>
            <w:tcW w:type="dxa" w:w="7860"/>
            <w:tcMar>
              <w:top w:type="dxa" w:w="85"/>
              <w:left w:type="dxa" w:w="130"/>
              <w:bottom w:type="dxa" w:w="85"/>
              <w:right w:type="dxa" w:w="130"/>
            </w:tcMar>
          </w:tcPr>
          <w:p>
            <w:pPr>
              <w:spacing w:after="0"/>
            </w:pPr>
            <w:r>
              <w:rPr>
                <w:rFonts w:ascii="Calibri" w:cs="Calibri" w:eastAsia="Calibri" w:hAnsi="Calibri"/>
                <w:color w:val="1A1A2E"/>
                <w:sz w:val="18"/>
                <w:szCs w:val="18"/>
              </w:rPr>
              <w:t xml:space="preserve">The third agent asks "what if?" — six different decisions, each one actually recalculated, not estimated.</w:t>
            </w:r>
          </w:p>
        </w:tc>
      </w:tr>
      <w:tr>
        <w:tc>
          <w:tcPr>
            <w:tcW w:type="dxa" w:w="1500"/>
            <w:tcMar>
              <w:top w:type="dxa" w:w="85"/>
              <w:left w:type="dxa" w:w="130"/>
              <w:bottom w:type="dxa" w:w="85"/>
              <w:right w:type="dxa" w:w="130"/>
            </w:tcMar>
          </w:tcPr>
          <w:p>
            <w:pPr>
              <w:spacing w:after="0"/>
            </w:pPr>
            <w:r>
              <w:rPr>
                <w:rFonts w:ascii="Calibri" w:cs="Calibri" w:eastAsia="Calibri" w:hAnsi="Calibri"/>
                <w:color w:val="1A1A2E"/>
                <w:sz w:val="18"/>
                <w:szCs w:val="18"/>
              </w:rPr>
              <w:t xml:space="preserve">4. Advise</w:t>
            </w:r>
          </w:p>
        </w:tc>
        <w:tc>
          <w:tcPr>
            <w:tcW w:type="dxa" w:w="7860"/>
            <w:tcMar>
              <w:top w:type="dxa" w:w="85"/>
              <w:left w:type="dxa" w:w="130"/>
              <w:bottom w:type="dxa" w:w="85"/>
              <w:right w:type="dxa" w:w="130"/>
            </w:tcMar>
          </w:tcPr>
          <w:p>
            <w:pPr>
              <w:spacing w:after="0"/>
            </w:pPr>
            <w:r>
              <w:rPr>
                <w:rFonts w:ascii="Calibri" w:cs="Calibri" w:eastAsia="Calibri" w:hAnsi="Calibri"/>
                <w:color w:val="1A1A2E"/>
                <w:sz w:val="18"/>
                <w:szCs w:val="18"/>
              </w:rPr>
              <w:t xml:space="preserve">The fourth agent finds every deduction you could still claim, ranks them, and works out where a limited amount of money should go.</w:t>
            </w:r>
          </w:p>
        </w:tc>
      </w:tr>
    </w:tbl>
    <w:p>
      <w:pPr>
        <w:spacing w:after="120" w:line="276"/>
      </w:pPr>
      <w:r>
        <w:rPr>
          <w:rFonts w:ascii="Calibri" w:cs="Calibri" w:eastAsia="Calibri" w:hAnsi="Calibri"/>
          <w:color w:val="1A1A2E"/>
          <w:sz w:val="21"/>
          <w:szCs w:val="21"/>
        </w:rPr>
        <w:t xml:space="preserve">A fifth piece, the orchestrator, decides what order they run in and passes results between them. All four finish in about 30 milliseconds.</w:t>
      </w:r>
    </w:p>
    <w:p>
      <w:pPr>
        <w:pStyle w:val="Heading2"/>
        <w:spacing w:after="100" w:before="250"/>
      </w:pPr>
      <w:r>
        <w:rPr>
          <w:rFonts w:ascii="Calibri" w:cs="Calibri" w:eastAsia="Calibri" w:hAnsi="Calibri"/>
          <w:b/>
          <w:bCs/>
          <w:color w:val="1A1A2E"/>
          <w:sz w:val="23"/>
          <w:szCs w:val="23"/>
        </w:rPr>
        <w:t xml:space="preserve">The three things that make it different</w:t>
      </w:r>
    </w:p>
    <w:tbl>
      <w:tblPr>
        <w:tblW w:type="dxa" w:w="9360"/>
        <w:tblBorders>
          <w:top w:val="single" w:color="D9D9E3" w:sz="2"/>
          <w:left w:val="none" w:sz="0"/>
          <w:bottom w:val="single" w:color="D9D9E3" w:sz="2"/>
          <w:right w:val="none" w:sz="0"/>
          <w:insideH w:val="single" w:color="D9D9E3" w:sz="2"/>
          <w:insideV w:val="none" w:sz="0"/>
        </w:tblBorders>
      </w:tblPr>
      <w:tblGrid>
        <w:gridCol w:w="1700"/>
        <w:gridCol w:w="3400"/>
        <w:gridCol w:w="4260"/>
      </w:tblGrid>
      <w:tr>
        <w:trPr>
          <w:tblHeader/>
        </w:trPr>
        <w:tc>
          <w:tcPr>
            <w:tcW w:type="dxa" w:w="17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
            </w:r>
          </w:p>
        </w:tc>
        <w:tc>
          <w:tcPr>
            <w:tcW w:type="dxa" w:w="340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What every other tool does</w:t>
            </w:r>
          </w:p>
        </w:tc>
        <w:tc>
          <w:tcPr>
            <w:tcW w:type="dxa" w:w="4260"/>
            <w:shd w:fill="EFEDF7" w:val="clear"/>
            <w:tcMar>
              <w:top w:type="dxa" w:w="95"/>
              <w:left w:type="dxa" w:w="130"/>
              <w:bottom w:type="dxa" w:w="95"/>
              <w:right w:type="dxa" w:w="130"/>
            </w:tcMar>
          </w:tcPr>
          <w:p>
            <w:pPr>
              <w:spacing w:after="0"/>
            </w:pPr>
            <w:r>
              <w:rPr>
                <w:rFonts w:ascii="Calibri" w:cs="Calibri" w:eastAsia="Calibri" w:hAnsi="Calibri"/>
                <w:b/>
                <w:bCs/>
                <w:color w:val="3B2E86"/>
                <w:sz w:val="18"/>
                <w:szCs w:val="18"/>
              </w:rPr>
              <w:t xml:space="preserve">What this does</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Choosing a regime</w:t>
            </w:r>
          </w:p>
        </w:tc>
        <w:tc>
          <w:tcPr>
            <w:tcW w:type="dxa" w:w="3400"/>
            <w:tcMar>
              <w:top w:type="dxa" w:w="85"/>
              <w:left w:type="dxa" w:w="130"/>
              <w:bottom w:type="dxa" w:w="85"/>
              <w:right w:type="dxa" w:w="130"/>
            </w:tcMar>
          </w:tcPr>
          <w:p>
            <w:pPr>
              <w:spacing w:after="0"/>
            </w:pPr>
            <w:r>
              <w:rPr>
                <w:rFonts w:ascii="Calibri" w:cs="Calibri" w:eastAsia="Calibri" w:hAnsi="Calibri"/>
                <w:color w:val="1A1A2E"/>
                <w:sz w:val="18"/>
                <w:szCs w:val="18"/>
              </w:rPr>
              <w:t xml:space="preserve">Compares this year and picks the cheaper one</w:t>
            </w:r>
          </w:p>
        </w:tc>
        <w:tc>
          <w:tcPr>
            <w:tcW w:type="dxa" w:w="4260"/>
            <w:tcMar>
              <w:top w:type="dxa" w:w="85"/>
              <w:left w:type="dxa" w:w="130"/>
              <w:bottom w:type="dxa" w:w="85"/>
              <w:right w:type="dxa" w:w="130"/>
            </w:tcMar>
          </w:tcPr>
          <w:p>
            <w:pPr>
              <w:spacing w:after="0"/>
            </w:pPr>
            <w:r>
              <w:rPr>
                <w:rFonts w:ascii="Calibri" w:cs="Calibri" w:eastAsia="Calibri" w:hAnsi="Calibri"/>
                <w:color w:val="1A1A2E"/>
                <w:sz w:val="18"/>
                <w:szCs w:val="18"/>
              </w:rPr>
              <w:t xml:space="preserve">Knows that for a freelancer the choice is once-in-a-lifetime, and values it across a whole career. Sometimes it says do not take this year's saving.</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Advance tax</w:t>
            </w:r>
          </w:p>
        </w:tc>
        <w:tc>
          <w:tcPr>
            <w:tcW w:type="dxa" w:w="3400"/>
            <w:tcMar>
              <w:top w:type="dxa" w:w="85"/>
              <w:left w:type="dxa" w:w="130"/>
              <w:bottom w:type="dxa" w:w="85"/>
              <w:right w:type="dxa" w:w="130"/>
            </w:tcMar>
          </w:tcPr>
          <w:p>
            <w:pPr>
              <w:spacing w:after="0"/>
            </w:pPr>
            <w:r>
              <w:rPr>
                <w:rFonts w:ascii="Calibri" w:cs="Calibri" w:eastAsia="Calibri" w:hAnsi="Calibri"/>
                <w:color w:val="1A1A2E"/>
                <w:sz w:val="18"/>
                <w:szCs w:val="18"/>
              </w:rPr>
              <w:t xml:space="preserve">Splits your bill into four equal-ish parts</w:t>
            </w:r>
          </w:p>
        </w:tc>
        <w:tc>
          <w:tcPr>
            <w:tcW w:type="dxa" w:w="4260"/>
            <w:tcMar>
              <w:top w:type="dxa" w:w="85"/>
              <w:left w:type="dxa" w:w="130"/>
              <w:bottom w:type="dxa" w:w="85"/>
              <w:right w:type="dxa" w:w="130"/>
            </w:tcMar>
          </w:tcPr>
          <w:p>
            <w:pPr>
              <w:spacing w:after="0"/>
            </w:pPr>
            <w:r>
              <w:rPr>
                <w:rFonts w:ascii="Calibri" w:cs="Calibri" w:eastAsia="Calibri" w:hAnsi="Calibri"/>
                <w:color w:val="1A1A2E"/>
                <w:sz w:val="18"/>
                <w:szCs w:val="18"/>
              </w:rPr>
              <w:t xml:space="preserve">Knows you cannot predict your income in June, and that underpaying costs twice what overpaying does — so it tells you to pay at about the 67th percentile.</w:t>
            </w:r>
          </w:p>
        </w:tc>
      </w:tr>
      <w:tr>
        <w:tc>
          <w:tcPr>
            <w:tcW w:type="dxa" w:w="1700"/>
            <w:tcMar>
              <w:top w:type="dxa" w:w="85"/>
              <w:left w:type="dxa" w:w="130"/>
              <w:bottom w:type="dxa" w:w="85"/>
              <w:right w:type="dxa" w:w="130"/>
            </w:tcMar>
          </w:tcPr>
          <w:p>
            <w:pPr>
              <w:spacing w:after="0"/>
            </w:pPr>
            <w:r>
              <w:rPr>
                <w:rFonts w:ascii="Calibri" w:cs="Calibri" w:eastAsia="Calibri" w:hAnsi="Calibri"/>
                <w:color w:val="1A1A2E"/>
                <w:sz w:val="18"/>
                <w:szCs w:val="18"/>
              </w:rPr>
              <w:t xml:space="preserve">Where to invest</w:t>
            </w:r>
          </w:p>
        </w:tc>
        <w:tc>
          <w:tcPr>
            <w:tcW w:type="dxa" w:w="3400"/>
            <w:tcMar>
              <w:top w:type="dxa" w:w="85"/>
              <w:left w:type="dxa" w:w="130"/>
              <w:bottom w:type="dxa" w:w="85"/>
              <w:right w:type="dxa" w:w="130"/>
            </w:tcMar>
          </w:tcPr>
          <w:p>
            <w:pPr>
              <w:spacing w:after="0"/>
            </w:pPr>
            <w:r>
              <w:rPr>
                <w:rFonts w:ascii="Calibri" w:cs="Calibri" w:eastAsia="Calibri" w:hAnsi="Calibri"/>
                <w:color w:val="1A1A2E"/>
                <w:sz w:val="18"/>
                <w:szCs w:val="18"/>
              </w:rPr>
              <w:t xml:space="preserve">Lists every deduction and says fill them all</w:t>
            </w:r>
          </w:p>
        </w:tc>
        <w:tc>
          <w:tcPr>
            <w:tcW w:type="dxa" w:w="4260"/>
            <w:tcMar>
              <w:top w:type="dxa" w:w="85"/>
              <w:left w:type="dxa" w:w="130"/>
              <w:bottom w:type="dxa" w:w="85"/>
              <w:right w:type="dxa" w:w="130"/>
            </w:tcMar>
          </w:tcPr>
          <w:p>
            <w:pPr>
              <w:spacing w:after="0"/>
            </w:pPr>
            <w:r>
              <w:rPr>
                <w:rFonts w:ascii="Calibri" w:cs="Calibri" w:eastAsia="Calibri" w:hAnsi="Calibri"/>
                <w:color w:val="1A1A2E"/>
                <w:sz w:val="18"/>
                <w:szCs w:val="18"/>
              </w:rPr>
              <w:t xml:space="preserve">Asks how much money you actually have, and works out exactly where it should go. It also refuses to recommend donating, because giving a rupee to save thirty paise loses you money.</w:t>
            </w:r>
          </w:p>
        </w:tc>
      </w:tr>
    </w:tbl>
    <w:p>
      <w:pPr>
        <w:pStyle w:val="Heading2"/>
        <w:spacing w:after="100" w:before="250"/>
      </w:pPr>
      <w:r>
        <w:rPr>
          <w:rFonts w:ascii="Calibri" w:cs="Calibri" w:eastAsia="Calibri" w:hAnsi="Calibri"/>
          <w:b/>
          <w:bCs/>
          <w:color w:val="1A1A2E"/>
          <w:sz w:val="23"/>
          <w:szCs w:val="23"/>
        </w:rPr>
        <w:t xml:space="preserve">Where the AI fits</w:t>
      </w:r>
    </w:p>
    <w:p>
      <w:pPr>
        <w:spacing w:after="120" w:line="276"/>
      </w:pPr>
      <w:r>
        <w:rPr>
          <w:rFonts w:ascii="Calibri" w:cs="Calibri" w:eastAsia="Calibri" w:hAnsi="Calibri"/>
          <w:color w:val="1A1A2E"/>
          <w:sz w:val="21"/>
          <w:szCs w:val="21"/>
        </w:rPr>
        <w:t xml:space="preserve">There are two separate pieces of AI, and neither of them touches your tax calculation.</w:t>
      </w:r>
    </w:p>
    <w:p>
      <w:pPr>
        <w:pStyle w:val="ListParagraph"/>
        <w:numPr>
          <w:ilvl w:val="0"/>
          <w:numId w:val="2"/>
        </w:numPr>
        <w:spacing w:after="70" w:line="276"/>
      </w:pPr>
      <w:r>
        <w:rPr>
          <w:rFonts w:ascii="Calibri" w:cs="Calibri" w:eastAsia="Calibri" w:hAnsi="Calibri"/>
          <w:color w:val="1A1A2E"/>
          <w:sz w:val="21"/>
          <w:szCs w:val="21"/>
        </w:rPr>
        <w:t xml:space="preserve">Claude reads your plain-English description and fills in the form. It is fenced in three ways and cannot put a number into the calculation that you did not give it.</w:t>
      </w:r>
    </w:p>
    <w:p>
      <w:pPr>
        <w:pStyle w:val="ListParagraph"/>
        <w:numPr>
          <w:ilvl w:val="0"/>
          <w:numId w:val="2"/>
        </w:numPr>
        <w:spacing w:after="70" w:line="276"/>
      </w:pPr>
      <w:r>
        <w:rPr>
          <w:rFonts w:ascii="Calibri" w:cs="Calibri" w:eastAsia="Calibri" w:hAnsi="Calibri"/>
          <w:color w:val="1A1A2E"/>
          <w:sz w:val="21"/>
          <w:szCs w:val="21"/>
        </w:rPr>
        <w:t xml:space="preserve">A machine learning model predicts the range your income might fall in next year. Two features need that: deciding your advance tax, and valuing the regime decision.</w:t>
      </w:r>
    </w:p>
    <w:p>
      <w:pPr>
        <w:spacing w:after="120" w:line="276"/>
      </w:pPr>
      <w:r>
        <w:rPr>
          <w:rFonts w:ascii="Calibri" w:cs="Calibri" w:eastAsia="Calibri" w:hAnsi="Calibri"/>
          <w:b/>
          <w:bCs/>
          <w:color w:val="1A1A2E"/>
          <w:sz w:val="21"/>
          <w:szCs w:val="21"/>
        </w:rPr>
        <w:t xml:space="preserve">Every rupee you see is calculated by ordinary, testable code that follows the Income-tax Act. </w:t>
      </w:r>
      <w:r>
        <w:rPr>
          <w:rFonts w:ascii="Calibri" w:cs="Calibri" w:eastAsia="Calibri" w:hAnsi="Calibri"/>
          <w:color w:val="1A1A2E"/>
          <w:sz w:val="21"/>
          <w:szCs w:val="21"/>
        </w:rPr>
        <w:t xml:space="preserve">That is the most important design decision in the project.</w:t>
      </w:r>
    </w:p>
    <w:p>
      <w:pPr>
        <w:pStyle w:val="Heading2"/>
        <w:spacing w:after="100" w:before="250"/>
      </w:pPr>
      <w:r>
        <w:rPr>
          <w:rFonts w:ascii="Calibri" w:cs="Calibri" w:eastAsia="Calibri" w:hAnsi="Calibri"/>
          <w:b/>
          <w:bCs/>
          <w:color w:val="1A1A2E"/>
          <w:sz w:val="23"/>
          <w:szCs w:val="23"/>
        </w:rPr>
        <w:t xml:space="preserve">How we know it is right</w:t>
      </w:r>
    </w:p>
    <w:p>
      <w:pPr>
        <w:spacing w:after="120" w:line="276"/>
      </w:pPr>
      <w:r>
        <w:rPr>
          <w:rFonts w:ascii="Calibri" w:cs="Calibri" w:eastAsia="Calibri" w:hAnsi="Calibri"/>
          <w:color w:val="1A1A2E"/>
          <w:sz w:val="21"/>
          <w:szCs w:val="21"/>
        </w:rPr>
        <w:t xml:space="preserve">220 automated tests. Many of them contain figures worked out by hand from the text of each section of the Act, so if anyone changes a rate by accident, the tests fail immediately and say which section broke.</w:t>
      </w:r>
    </w:p>
    <w:p>
      <w:pPr>
        <w:pStyle w:val="Heading2"/>
        <w:spacing w:after="100" w:before="250"/>
      </w:pPr>
      <w:r>
        <w:rPr>
          <w:rFonts w:ascii="Calibri" w:cs="Calibri" w:eastAsia="Calibri" w:hAnsi="Calibri"/>
          <w:b/>
          <w:bCs/>
          <w:color w:val="1A1A2E"/>
          <w:sz w:val="23"/>
          <w:szCs w:val="23"/>
        </w:rPr>
        <w:t xml:space="preserve">Being honest about it</w:t>
      </w:r>
    </w:p>
    <w:p>
      <w:pPr>
        <w:spacing w:after="120" w:line="276"/>
      </w:pPr>
      <w:r>
        <w:rPr>
          <w:rFonts w:ascii="Calibri" w:cs="Calibri" w:eastAsia="Calibri" w:hAnsi="Calibri"/>
          <w:color w:val="1A1A2E"/>
          <w:sz w:val="21"/>
          <w:szCs w:val="21"/>
        </w:rPr>
        <w:t xml:space="preserve">The income prediction model is trained on simulated taxpayers, because real income histories are private data that nobody publishes. It handles one person rather than a whole family. And it is a planning tool, not a licensed financial adviser — for anything that actually matters, check with a Chartered Accountant.</w:t>
      </w:r>
    </w:p>
    <w:p>
      <w:pPr>
        <w:spacing w:after="120" w:line="276"/>
      </w:pPr>
      <w:r>
        <w:rPr>
          <w:rFonts w:ascii="Calibri" w:cs="Calibri" w:eastAsia="Calibri" w:hAnsi="Calibri"/>
          <w:color w:val="1A1A2E"/>
          <w:sz w:val="21"/>
          <w:szCs w:val="21"/>
        </w:rPr>
        <w:t xml:space="preserve"/>
      </w:r>
    </w:p>
    <w:tbl>
      <w:tblPr>
        <w:tblW w:type="dxa" w:w="9360"/>
        <w:tblBorders>
          <w:top w:val="single" w:color="C9C2E8" w:sz="2"/>
          <w:left w:val="single" w:color="3B2E86" w:sz="18"/>
          <w:bottom w:val="single" w:color="C9C2E8" w:sz="2"/>
          <w:right w:val="single" w:color="C9C2E8" w:sz="2"/>
          <w:insideH w:val="none" w:sz="0"/>
          <w:insideV w:val="none" w:sz="0"/>
        </w:tblBorders>
      </w:tblPr>
      <w:tblGrid>
        <w:gridCol w:w="9360"/>
      </w:tblGrid>
      <w:tr>
        <w:tc>
          <w:tcPr>
            <w:tcW w:type="dxa" w:w="9360"/>
            <w:shd w:fill="F4F2FB" w:val="clear"/>
            <w:tcMar>
              <w:top w:type="dxa" w:w="150"/>
              <w:left w:type="dxa" w:w="190"/>
              <w:bottom w:type="dxa" w:w="150"/>
              <w:right w:type="dxa" w:w="190"/>
            </w:tcMar>
          </w:tcPr>
          <w:p>
            <w:pPr>
              <w:spacing w:after="0" w:line="276"/>
            </w:pPr>
            <w:r>
              <w:rPr>
                <w:rFonts w:ascii="Calibri" w:cs="Calibri" w:eastAsia="Calibri" w:hAnsi="Calibri"/>
                <w:b/>
                <w:bCs/>
                <w:color w:val="1A1A2E"/>
                <w:sz w:val="21"/>
                <w:szCs w:val="21"/>
              </w:rPr>
              <w:t xml:space="preserve">The idea behind the whole project: </w:t>
            </w:r>
            <w:r>
              <w:rPr>
                <w:rFonts w:ascii="Calibri" w:cs="Calibri" w:eastAsia="Calibri" w:hAnsi="Calibri"/>
                <w:color w:val="1A1A2E"/>
                <w:sz w:val="21"/>
                <w:szCs w:val="21"/>
              </w:rPr>
              <w:t xml:space="preserve">a tax return is a record of what already happened. The decisions that actually matter are about what happens next — and those need uncertainty, irreversibility and real budgets taken seriously, instead of averaged away.</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Reference</dc:title>
  <dc:creator>Autonomous Multi-Agent Framework for Personal Finance Management and Tax Optimisation</dc:creator>
  <dc:description>Agents, technology, LLM, framework, tax law, scope, Q&amp;A and a plain-language brief</dc:description>
  <cp:lastModifiedBy>Un-named</cp:lastModifiedBy>
  <cp:revision>1</cp:revision>
  <dcterms:created xsi:type="dcterms:W3CDTF">2026-09-08T19:01:22.910Z</dcterms:created>
  <dcterms:modified xsi:type="dcterms:W3CDTF">2026-09-08T19:01:22.910Z</dcterms:modified>
</cp:coreProperties>
</file>

<file path=docProps/custom.xml><?xml version="1.0" encoding="utf-8"?>
<Properties xmlns="http://schemas.openxmlformats.org/officeDocument/2006/custom-properties" xmlns:vt="http://schemas.openxmlformats.org/officeDocument/2006/docPropsVTypes"/>
</file>