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jc w:val="center"/>
      </w:pPr>
      <w:r>
        <w:rPr>
          <w:rFonts w:ascii="Calibri" w:cs="Calibri" w:eastAsia="Calibri" w:hAnsi="Calibri"/>
          <w:b/>
          <w:bCs/>
          <w:color w:val="3B2E86"/>
          <w:sz w:val="56"/>
          <w:szCs w:val="56"/>
        </w:rPr>
        <w:t xml:space="preserve">Tax Optimisation Agent</w:t>
      </w:r>
    </w:p>
    <w:p>
      <w:pPr>
        <w:spacing w:after="400"/>
        <w:jc w:val="center"/>
      </w:pPr>
      <w:r>
        <w:rPr>
          <w:rFonts w:ascii="Calibri" w:cs="Calibri" w:eastAsia="Calibri" w:hAnsi="Calibri"/>
          <w:i/>
          <w:iCs/>
          <w:color w:val="555566"/>
          <w:sz w:val="26"/>
          <w:szCs w:val="26"/>
        </w:rPr>
        <w:t xml:space="preserve">Deciding tax under uncertainty, not certainty</w:t>
      </w:r>
    </w:p>
    <w:p>
      <w:pPr>
        <w:spacing w:after="60"/>
        <w:jc w:val="center"/>
      </w:pPr>
      <w:r>
        <w:rPr>
          <w:rFonts w:ascii="Calibri" w:cs="Calibri" w:eastAsia="Calibri" w:hAnsi="Calibri"/>
          <w:color w:val="1A1A2E"/>
          <w:sz w:val="22"/>
          <w:szCs w:val="22"/>
        </w:rPr>
        <w:t xml:space="preserve">A project report</w:t>
      </w:r>
    </w:p>
    <w:p>
      <w:pPr>
        <w:spacing w:after="600"/>
        <w:jc w:val="center"/>
      </w:pPr>
      <w:r>
        <w:rPr>
          <w:rFonts w:ascii="Calibri" w:cs="Calibri" w:eastAsia="Calibri" w:hAnsi="Calibri"/>
          <w:color w:val="555566"/>
          <w:sz w:val="20"/>
          <w:szCs w:val="20"/>
        </w:rPr>
        <w:t xml:space="preserve">Indian personal income tax  •  FY 2025-26 (AY 2026-27)</w:t>
      </w:r>
    </w:p>
    <w:tbl>
      <w:tblPr>
        <w:tblW w:type="dxa" w:w="9360"/>
        <w:tblBorders>
          <w:top w:val="single" w:color="C9C2E8" w:sz="2"/>
          <w:left w:val="single" w:color="3B2E86" w:sz="18"/>
          <w:bottom w:val="single" w:color="C9C2E8" w:sz="2"/>
          <w:right w:val="single" w:color="C9C2E8" w:sz="2"/>
          <w:insideH w:val="none" w:sz="0"/>
          <w:insideV w:val="none" w:sz="0"/>
        </w:tblBorders>
      </w:tblPr>
      <w:tblGrid>
        <w:gridCol w:w="9360"/>
      </w:tblGrid>
      <w:tr>
        <w:tc>
          <w:tcPr>
            <w:tcW w:type="dxa" w:w="9360"/>
            <w:shd w:fill="F4F2FB" w:val="clear"/>
            <w:tcMar>
              <w:top w:type="dxa" w:w="160"/>
              <w:left w:type="dxa" w:w="200"/>
              <w:bottom w:type="dxa" w:w="160"/>
              <w:right w:type="dxa" w:w="200"/>
            </w:tcMar>
          </w:tcPr>
          <w:p>
            <w:pPr>
              <w:spacing w:after="0" w:line="276"/>
            </w:pPr>
            <w:r>
              <w:rPr>
                <w:rFonts w:ascii="Calibri" w:cs="Calibri" w:eastAsia="Calibri" w:hAnsi="Calibri"/>
                <w:b/>
                <w:bCs/>
                <w:color w:val="1A1A2E"/>
                <w:sz w:val="21"/>
                <w:szCs w:val="21"/>
              </w:rPr>
              <w:t xml:space="preserve">In one sentence: </w:t>
            </w:r>
            <w:r>
              <w:rPr>
                <w:rFonts w:ascii="Calibri" w:cs="Calibri" w:eastAsia="Calibri" w:hAnsi="Calibri"/>
                <w:color w:val="1A1A2E"/>
                <w:sz w:val="21"/>
                <w:szCs w:val="21"/>
              </w:rPr>
              <w:t xml:space="preserve">most tax tools answer "what do you owe this year". This one answers three questions they cannot — because those questions involve the future, and the future is uncertain.</w:t>
            </w:r>
          </w:p>
        </w:tc>
      </w:tr>
    </w:tbl>
    <w:p>
      <w:r>
        <w:br w:type="page"/>
      </w:r>
    </w:p>
    <w:p>
      <w:pPr>
        <w:pStyle w:val="Heading1"/>
        <w:spacing w:after="160" w:before="360"/>
      </w:pPr>
      <w:r>
        <w:rPr>
          <w:rFonts w:ascii="Calibri" w:cs="Calibri" w:eastAsia="Calibri" w:hAnsi="Calibri"/>
          <w:b/>
          <w:bCs/>
          <w:color w:val="3B2E86"/>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3B2E86"/>
          <w:sz w:val="30"/>
          <w:szCs w:val="30"/>
        </w:rPr>
        <w:t xml:space="preserve">1.  What this project does</w:t>
      </w:r>
    </w:p>
    <w:p>
      <w:pPr>
        <w:spacing w:after="120" w:line="276"/>
      </w:pPr>
      <w:r>
        <w:rPr>
          <w:rFonts w:ascii="Calibri" w:cs="Calibri" w:eastAsia="Calibri" w:hAnsi="Calibri"/>
          <w:color w:val="1A1A2E"/>
          <w:sz w:val="21"/>
          <w:szCs w:val="21"/>
        </w:rPr>
        <w:t xml:space="preserve">This is an advisory agent for Indian personal income tax. You answer a short interview about your income, and it works out what you owe under both tax regimes, tells you how to pay less legally, and names the forms you have to file.</w:t>
      </w:r>
    </w:p>
    <w:p>
      <w:pPr>
        <w:spacing w:after="120" w:line="276"/>
      </w:pPr>
      <w:r>
        <w:rPr>
          <w:rFonts w:ascii="Calibri" w:cs="Calibri" w:eastAsia="Calibri" w:hAnsi="Calibri"/>
          <w:color w:val="1A1A2E"/>
          <w:sz w:val="21"/>
          <w:szCs w:val="21"/>
        </w:rPr>
        <w:t xml:space="preserve">The original version did that well. It computed tax correctly, compared the old and new regimes, and suggested deductions. This report is about the work that came after — three things it now does that, as far as we are aware, no other tax tool does at all.</w:t>
      </w:r>
    </w:p>
    <w:p>
      <w:pPr>
        <w:pStyle w:val="Heading2"/>
        <w:spacing w:after="110" w:before="260"/>
      </w:pPr>
      <w:r>
        <w:rPr>
          <w:rFonts w:ascii="Calibri" w:cs="Calibri" w:eastAsia="Calibri" w:hAnsi="Calibri"/>
          <w:b/>
          <w:bCs/>
          <w:color w:val="1A1A2E"/>
          <w:sz w:val="24"/>
          <w:szCs w:val="24"/>
        </w:rPr>
        <w:t xml:space="preserve">The one idea behind all three</w:t>
      </w:r>
    </w:p>
    <w:p>
      <w:pPr>
        <w:spacing w:after="120" w:line="276"/>
      </w:pPr>
      <w:r>
        <w:rPr>
          <w:rFonts w:ascii="Calibri" w:cs="Calibri" w:eastAsia="Calibri" w:hAnsi="Calibri"/>
          <w:color w:val="1A1A2E"/>
          <w:sz w:val="21"/>
          <w:szCs w:val="21"/>
        </w:rPr>
        <w:t xml:space="preserve">A tax return is a record of the past. Every figure in it has already happened. But three of the most important decisions a taxpayer makes are about the future:</w:t>
      </w:r>
    </w:p>
    <w:p>
      <w:pPr>
        <w:pStyle w:val="ListParagraph"/>
        <w:numPr>
          <w:ilvl w:val="0"/>
          <w:numId w:val="2"/>
        </w:numPr>
        <w:spacing w:after="80" w:line="276"/>
      </w:pPr>
      <w:r>
        <w:rPr>
          <w:rFonts w:ascii="Calibri" w:cs="Calibri" w:eastAsia="Calibri" w:hAnsi="Calibri"/>
          <w:color w:val="1A1A2E"/>
          <w:sz w:val="21"/>
          <w:szCs w:val="21"/>
        </w:rPr>
        <w:t xml:space="preserve">How much advance tax should I pay in June, when I do not yet know what I will earn by March?</w:t>
      </w:r>
    </w:p>
    <w:p>
      <w:pPr>
        <w:pStyle w:val="ListParagraph"/>
        <w:numPr>
          <w:ilvl w:val="0"/>
          <w:numId w:val="2"/>
        </w:numPr>
        <w:spacing w:after="80" w:line="276"/>
      </w:pPr>
      <w:r>
        <w:rPr>
          <w:rFonts w:ascii="Calibri" w:cs="Calibri" w:eastAsia="Calibri" w:hAnsi="Calibri"/>
          <w:color w:val="1A1A2E"/>
          <w:sz w:val="21"/>
          <w:szCs w:val="21"/>
        </w:rPr>
        <w:t xml:space="preserve">Should I leave the new tax regime, knowing I can only ever do it once?</w:t>
      </w:r>
    </w:p>
    <w:p>
      <w:pPr>
        <w:pStyle w:val="ListParagraph"/>
        <w:numPr>
          <w:ilvl w:val="0"/>
          <w:numId w:val="2"/>
        </w:numPr>
        <w:spacing w:after="80" w:line="276"/>
      </w:pPr>
      <w:r>
        <w:rPr>
          <w:rFonts w:ascii="Calibri" w:cs="Calibri" w:eastAsia="Calibri" w:hAnsi="Calibri"/>
          <w:color w:val="1A1A2E"/>
          <w:sz w:val="21"/>
          <w:szCs w:val="21"/>
        </w:rPr>
        <w:t xml:space="preserve">I have some money left before 31 March. Where exactly should it go?</w:t>
      </w:r>
    </w:p>
    <w:p>
      <w:pPr>
        <w:spacing w:after="120" w:line="276"/>
      </w:pPr>
      <w:r>
        <w:rPr>
          <w:rFonts w:ascii="Calibri" w:cs="Calibri" w:eastAsia="Calibri" w:hAnsi="Calibri"/>
          <w:color w:val="1A1A2E"/>
          <w:sz w:val="21"/>
          <w:szCs w:val="21"/>
        </w:rPr>
        <w:t xml:space="preserve">Every one of those involves uncertainty, or a choice that cannot be undone, or a limited budget. A calculator that only looks at this year cannot answer any of them properly. That is the gap this work fills.</w:t>
      </w:r>
    </w:p>
    <w:p>
      <w:pPr>
        <w:pBdr>
          <w:bottom w:val="single" w:color="D9D9E3" w:sz="6"/>
        </w:pBdr>
        <w:spacing w:after="200" w:before="60"/>
      </w:pPr>
      <w:r>
        <w:rPr>
          <w:sz w:val="2"/>
          <w:szCs w:val="2"/>
        </w:rPr>
        <w:t xml:space="preserve"/>
      </w:r>
    </w:p>
    <w:p>
      <w:pPr>
        <w:pStyle w:val="Heading1"/>
        <w:spacing w:after="160" w:before="360"/>
      </w:pPr>
      <w:r>
        <w:rPr>
          <w:rFonts w:ascii="Calibri" w:cs="Calibri" w:eastAsia="Calibri" w:hAnsi="Calibri"/>
          <w:b/>
          <w:bCs/>
          <w:color w:val="3B2E86"/>
          <w:sz w:val="30"/>
          <w:szCs w:val="30"/>
        </w:rPr>
        <w:t xml:space="preserve">2.  The tax rules you need to know</w:t>
      </w:r>
    </w:p>
    <w:p>
      <w:pPr>
        <w:spacing w:after="120" w:line="276"/>
      </w:pPr>
      <w:r>
        <w:rPr>
          <w:rFonts w:ascii="Calibri" w:cs="Calibri" w:eastAsia="Calibri" w:hAnsi="Calibri"/>
          <w:color w:val="1A1A2E"/>
          <w:sz w:val="21"/>
          <w:szCs w:val="21"/>
        </w:rPr>
        <w:t xml:space="preserve">Everything below rests on real provisions of the Income-tax Act, 1961. Here they are in plain language.</w:t>
      </w:r>
    </w:p>
    <w:p>
      <w:pPr>
        <w:pStyle w:val="Heading2"/>
        <w:spacing w:after="110" w:before="260"/>
      </w:pPr>
      <w:r>
        <w:rPr>
          <w:rFonts w:ascii="Calibri" w:cs="Calibri" w:eastAsia="Calibri" w:hAnsi="Calibri"/>
          <w:b/>
          <w:bCs/>
          <w:color w:val="1A1A2E"/>
          <w:sz w:val="24"/>
          <w:szCs w:val="24"/>
        </w:rPr>
        <w:t xml:space="preserve">Two regimes</w:t>
      </w:r>
    </w:p>
    <w:p>
      <w:pPr>
        <w:spacing w:after="120" w:line="276"/>
      </w:pPr>
      <w:r>
        <w:rPr>
          <w:rFonts w:ascii="Calibri" w:cs="Calibri" w:eastAsia="Calibri" w:hAnsi="Calibri"/>
          <w:color w:val="1A1A2E"/>
          <w:sz w:val="21"/>
          <w:szCs w:val="21"/>
        </w:rPr>
        <w:t xml:space="preserve">Since 2020 an Indian taxpayer chooses between two systems. The NEW regime has lower tax rates but almost no deductions. The OLD regime has higher rates but lets you subtract investments, insurance, home loan interest and rent.</w:t>
      </w:r>
    </w:p>
    <w:p>
      <w:pPr>
        <w:spacing w:after="120" w:line="276"/>
      </w:pPr>
      <w:r>
        <w:rPr>
          <w:rFonts w:ascii="Calibri" w:cs="Calibri" w:eastAsia="Calibri" w:hAnsi="Calibri"/>
          <w:color w:val="1A1A2E"/>
          <w:sz w:val="21"/>
          <w:szCs w:val="21"/>
        </w:rPr>
        <w:t xml:space="preserve">After the Finance Act 2025 the new regime became much more generous — income up to Rs.12 lakh is effectively tax-free because of the section 87A rebate. This matters: the new regime now wins for most people, and a lot of traditional "save tax by investing in 80C" advice quietly stopped applying.</w:t>
      </w:r>
    </w:p>
    <w:p>
      <w:pPr>
        <w:pStyle w:val="Heading2"/>
        <w:spacing w:after="110" w:before="260"/>
      </w:pPr>
      <w:r>
        <w:rPr>
          <w:rFonts w:ascii="Calibri" w:cs="Calibri" w:eastAsia="Calibri" w:hAnsi="Calibri"/>
          <w:b/>
          <w:bCs/>
          <w:color w:val="1A1A2E"/>
          <w:sz w:val="24"/>
          <w:szCs w:val="24"/>
        </w:rPr>
        <w:t xml:space="preserve">The rule almost everyone misses: section 115BAC(6)</w:t>
      </w:r>
    </w:p>
    <w:p>
      <w:pPr>
        <w:spacing w:after="120" w:line="276"/>
      </w:pPr>
      <w:r>
        <w:rPr>
          <w:rFonts w:ascii="Calibri" w:cs="Calibri" w:eastAsia="Calibri" w:hAnsi="Calibri"/>
          <w:color w:val="1A1A2E"/>
          <w:sz w:val="21"/>
          <w:szCs w:val="21"/>
        </w:rPr>
        <w:t xml:space="preserve">A salaried person picks a regime fresh every single year. No commitment.</w:t>
      </w:r>
    </w:p>
    <w:p>
      <w:pPr>
        <w:spacing w:after="120" w:line="276"/>
      </w:pPr>
      <w:r>
        <w:rPr>
          <w:rFonts w:ascii="Calibri" w:cs="Calibri" w:eastAsia="Calibri" w:hAnsi="Calibri"/>
          <w:b/>
          <w:bCs/>
          <w:color w:val="1A1A2E"/>
          <w:sz w:val="21"/>
          <w:szCs w:val="21"/>
        </w:rPr>
        <w:t xml:space="preserve">A person with business or professional income cannot. </w:t>
      </w:r>
      <w:r>
        <w:rPr>
          <w:rFonts w:ascii="Calibri" w:cs="Calibri" w:eastAsia="Calibri" w:hAnsi="Calibri"/>
          <w:color w:val="1A1A2E"/>
          <w:sz w:val="21"/>
          <w:szCs w:val="21"/>
        </w:rPr>
        <w:t xml:space="preserve">Leaving the new regime means filing Form 10-IEA, and that is a once-in-a-lifetime move. You may return to the new regime once afterwards, and then you are locked in permanently.</w:t>
      </w:r>
    </w:p>
    <w:tbl>
      <w:tblPr>
        <w:tblW w:type="dxa" w:w="9360"/>
        <w:tblBorders>
          <w:top w:val="single" w:color="C9C2E8" w:sz="2"/>
          <w:left w:val="single" w:color="3B2E86" w:sz="18"/>
          <w:bottom w:val="single" w:color="C9C2E8" w:sz="2"/>
          <w:right w:val="single" w:color="C9C2E8" w:sz="2"/>
          <w:insideH w:val="none" w:sz="0"/>
          <w:insideV w:val="none" w:sz="0"/>
        </w:tblBorders>
      </w:tblPr>
      <w:tblGrid>
        <w:gridCol w:w="9360"/>
      </w:tblGrid>
      <w:tr>
        <w:tc>
          <w:tcPr>
            <w:tcW w:type="dxa" w:w="9360"/>
            <w:shd w:fill="F4F2FB" w:val="clear"/>
            <w:tcMar>
              <w:top w:type="dxa" w:w="160"/>
              <w:left w:type="dxa" w:w="200"/>
              <w:bottom w:type="dxa" w:w="160"/>
              <w:right w:type="dxa" w:w="200"/>
            </w:tcMar>
          </w:tcPr>
          <w:p>
            <w:pPr>
              <w:spacing w:after="0" w:line="276"/>
            </w:pPr>
            <w:r>
              <w:rPr>
                <w:rFonts w:ascii="Calibri" w:cs="Calibri" w:eastAsia="Calibri" w:hAnsi="Calibri"/>
                <w:b/>
                <w:bCs/>
                <w:color w:val="1A1A2E"/>
                <w:sz w:val="21"/>
                <w:szCs w:val="21"/>
              </w:rPr>
              <w:t xml:space="preserve">Why this matters so much: </w:t>
            </w:r>
            <w:r>
              <w:rPr>
                <w:rFonts w:ascii="Calibri" w:cs="Calibri" w:eastAsia="Calibri" w:hAnsi="Calibri"/>
                <w:color w:val="1A1A2E"/>
                <w:sz w:val="21"/>
                <w:szCs w:val="21"/>
              </w:rPr>
              <w:t xml:space="preserve">for a freelancer or consultant, choosing a regime is not a comparison. It is spending something you can never get back. That makes it the same kind of decision as exercising a financial option — and it should be treated with the same mathematics.</w:t>
            </w:r>
          </w:p>
        </w:tc>
      </w:tr>
    </w:tbl>
    <w:p>
      <w:pPr>
        <w:pStyle w:val="Heading2"/>
        <w:spacing w:after="110" w:before="260"/>
      </w:pPr>
      <w:r>
        <w:rPr>
          <w:rFonts w:ascii="Calibri" w:cs="Calibri" w:eastAsia="Calibri" w:hAnsi="Calibri"/>
          <w:b/>
          <w:bCs/>
          <w:color w:val="1A1A2E"/>
          <w:sz w:val="24"/>
          <w:szCs w:val="24"/>
        </w:rPr>
        <w:t xml:space="preserve">Advance tax, and the penalties</w:t>
      </w:r>
    </w:p>
    <w:p>
      <w:pPr>
        <w:spacing w:after="120" w:line="276"/>
      </w:pPr>
      <w:r>
        <w:rPr>
          <w:rFonts w:ascii="Calibri" w:cs="Calibri" w:eastAsia="Calibri" w:hAnsi="Calibri"/>
          <w:color w:val="1A1A2E"/>
          <w:sz w:val="21"/>
          <w:szCs w:val="21"/>
        </w:rPr>
        <w:t xml:space="preserve">If you owe more than Rs.10,000 in a year, you must pay it in four instalments during the year — 15% by 15 June, 45% by 15 September, 75% by 15 December, and 100% by 15 March. Pay late or short and you are charged interest:</w:t>
      </w:r>
    </w:p>
    <w:p>
      <w:pPr>
        <w:pStyle w:val="ListParagraph"/>
        <w:numPr>
          <w:ilvl w:val="0"/>
          <w:numId w:val="2"/>
        </w:numPr>
        <w:spacing w:after="80" w:line="276"/>
      </w:pPr>
      <w:r>
        <w:rPr>
          <w:rFonts w:ascii="Calibri" w:cs="Calibri" w:eastAsia="Calibri" w:hAnsi="Calibri"/>
          <w:color w:val="1A1A2E"/>
          <w:sz w:val="21"/>
          <w:szCs w:val="21"/>
        </w:rPr>
        <w:t xml:space="preserve">Section 234C — 1% per month for missing an instalment.</w:t>
      </w:r>
    </w:p>
    <w:p>
      <w:pPr>
        <w:pStyle w:val="ListParagraph"/>
        <w:numPr>
          <w:ilvl w:val="0"/>
          <w:numId w:val="2"/>
        </w:numPr>
        <w:spacing w:after="80" w:line="276"/>
      </w:pPr>
      <w:r>
        <w:rPr>
          <w:rFonts w:ascii="Calibri" w:cs="Calibri" w:eastAsia="Calibri" w:hAnsi="Calibri"/>
          <w:color w:val="1A1A2E"/>
          <w:sz w:val="21"/>
          <w:szCs w:val="21"/>
        </w:rPr>
        <w:t xml:space="preserve">Section 234B — 1% per month if you end the year having paid less than 90% of what you owed.</w:t>
      </w:r>
    </w:p>
    <w:p>
      <w:pPr>
        <w:pStyle w:val="ListParagraph"/>
        <w:numPr>
          <w:ilvl w:val="0"/>
          <w:numId w:val="2"/>
        </w:numPr>
        <w:spacing w:after="80" w:line="276"/>
      </w:pPr>
      <w:r>
        <w:rPr>
          <w:rFonts w:ascii="Calibri" w:cs="Calibri" w:eastAsia="Calibri" w:hAnsi="Calibri"/>
          <w:color w:val="1A1A2E"/>
          <w:sz w:val="21"/>
          <w:szCs w:val="21"/>
        </w:rPr>
        <w:t xml:space="preserve">Section 244A — if you OVERpay, the department returns the excess with only 0.5% per month.</w:t>
      </w:r>
    </w:p>
    <w:p>
      <w:pPr>
        <w:spacing w:after="120" w:line="276"/>
      </w:pPr>
      <w:r>
        <w:rPr>
          <w:rFonts w:ascii="Calibri" w:cs="Calibri" w:eastAsia="Calibri" w:hAnsi="Calibri"/>
          <w:b/>
          <w:bCs/>
          <w:color w:val="1A1A2E"/>
          <w:sz w:val="21"/>
          <w:szCs w:val="21"/>
        </w:rPr>
        <w:t xml:space="preserve">Notice the asymmetry. </w:t>
      </w:r>
      <w:r>
        <w:rPr>
          <w:rFonts w:ascii="Calibri" w:cs="Calibri" w:eastAsia="Calibri" w:hAnsi="Calibri"/>
          <w:color w:val="1A1A2E"/>
          <w:sz w:val="21"/>
          <w:szCs w:val="21"/>
        </w:rPr>
        <w:t xml:space="preserve">Paying too little costs about twice as much as paying too much. That single fact turns out to change the correct answer completely, and Section 4 of this report explains how.</w:t>
      </w:r>
    </w:p>
    <w:p>
      <w:pPr>
        <w:pStyle w:val="Heading2"/>
        <w:spacing w:after="110" w:before="260"/>
      </w:pPr>
      <w:r>
        <w:rPr>
          <w:rFonts w:ascii="Calibri" w:cs="Calibri" w:eastAsia="Calibri" w:hAnsi="Calibri"/>
          <w:b/>
          <w:bCs/>
          <w:color w:val="1A1A2E"/>
          <w:sz w:val="24"/>
          <w:szCs w:val="24"/>
        </w:rPr>
        <w:t xml:space="preserve">Two details most tools get wrong</w:t>
      </w:r>
    </w:p>
    <w:p>
      <w:pPr>
        <w:pStyle w:val="ListParagraph"/>
        <w:numPr>
          <w:ilvl w:val="0"/>
          <w:numId w:val="2"/>
        </w:numPr>
        <w:spacing w:after="80" w:line="276"/>
      </w:pPr>
      <w:r>
        <w:rPr>
          <w:rFonts w:ascii="Calibri" w:cs="Calibri" w:eastAsia="Calibri" w:hAnsi="Calibri"/>
          <w:color w:val="1A1A2E"/>
          <w:sz w:val="21"/>
          <w:szCs w:val="21"/>
        </w:rPr>
        <w:t xml:space="preserve">Rule 119A: interest is charged on the shortfall rounded DOWN to the nearest Rs.100, and any part of a month counts as a whole month.</w:t>
      </w:r>
    </w:p>
    <w:p>
      <w:pPr>
        <w:pStyle w:val="ListParagraph"/>
        <w:numPr>
          <w:ilvl w:val="0"/>
          <w:numId w:val="2"/>
        </w:numPr>
        <w:spacing w:after="80" w:line="276"/>
      </w:pPr>
      <w:r>
        <w:rPr>
          <w:rFonts w:ascii="Calibri" w:cs="Calibri" w:eastAsia="Calibri" w:hAnsi="Calibri"/>
          <w:color w:val="1A1A2E"/>
          <w:sz w:val="21"/>
          <w:szCs w:val="21"/>
        </w:rPr>
        <w:t xml:space="preserve">The 234C safe harbours: if you pay at least 12% by 15 June (not 15%) or 36% by 15 September (not 45%), the interest for that instalment is waived entirely. It is a cliff, not a slope — and it is worth real money.</w:t>
      </w:r>
    </w:p>
    <w:p>
      <w:pPr>
        <w:spacing w:after="120" w:line="276"/>
      </w:pPr>
      <w:r>
        <w:rPr>
          <w:rFonts w:ascii="Calibri" w:cs="Calibri" w:eastAsia="Calibri" w:hAnsi="Calibri"/>
          <w:color w:val="1A1A2E"/>
          <w:sz w:val="21"/>
          <w:szCs w:val="21"/>
        </w:rPr>
        <w:t xml:space="preserve">Both are implemented here.</w:t>
      </w:r>
    </w:p>
    <w:p>
      <w:pPr>
        <w:pBdr>
          <w:bottom w:val="single" w:color="D9D9E3" w:sz="6"/>
        </w:pBdr>
        <w:spacing w:after="200" w:before="60"/>
      </w:pPr>
      <w:r>
        <w:rPr>
          <w:sz w:val="2"/>
          <w:szCs w:val="2"/>
        </w:rPr>
        <w:t xml:space="preserve"/>
      </w:r>
    </w:p>
    <w:p>
      <w:r>
        <w:br w:type="page"/>
      </w:r>
    </w:p>
    <w:p>
      <w:pPr>
        <w:pStyle w:val="Heading1"/>
        <w:spacing w:after="160" w:before="360"/>
      </w:pPr>
      <w:r>
        <w:rPr>
          <w:rFonts w:ascii="Calibri" w:cs="Calibri" w:eastAsia="Calibri" w:hAnsi="Calibri"/>
          <w:b/>
          <w:bCs/>
          <w:color w:val="3B2E86"/>
          <w:sz w:val="30"/>
          <w:szCs w:val="30"/>
        </w:rPr>
        <w:t xml:space="preserve">3.  The three new features</w:t>
      </w:r>
    </w:p>
    <w:p>
      <w:pPr>
        <w:spacing w:after="120" w:line="276"/>
      </w:pPr>
      <w:r>
        <w:rPr>
          <w:rFonts w:ascii="Calibri" w:cs="Calibri" w:eastAsia="Calibri" w:hAnsi="Calibri"/>
          <w:color w:val="1A1A2E"/>
          <w:sz w:val="21"/>
          <w:szCs w:val="21"/>
        </w:rPr>
        <w:t xml:space="preserve">This is the part that is genuinely unusual. Each one takes a question tax tools answer badly and re-frames it as a problem with a known, correct mathematical solution.</w:t>
      </w:r>
    </w:p>
    <w:p>
      <w:pPr>
        <w:pStyle w:val="Heading2"/>
        <w:spacing w:after="110" w:before="260"/>
      </w:pPr>
      <w:r>
        <w:rPr>
          <w:rFonts w:ascii="Calibri" w:cs="Calibri" w:eastAsia="Calibri" w:hAnsi="Calibri"/>
          <w:b/>
          <w:bCs/>
          <w:color w:val="1A1A2E"/>
          <w:sz w:val="24"/>
          <w:szCs w:val="24"/>
        </w:rPr>
        <w:t xml:space="preserve">Feature 1 — The regime choice is an option, not a comparison</w:t>
      </w:r>
    </w:p>
    <w:p>
      <w:pPr>
        <w:spacing w:after="120" w:line="276"/>
      </w:pPr>
      <w:r>
        <w:rPr>
          <w:rFonts w:ascii="Calibri" w:cs="Calibri" w:eastAsia="Calibri" w:hAnsi="Calibri"/>
          <w:color w:val="1A1A2E"/>
          <w:sz w:val="21"/>
          <w:szCs w:val="21"/>
        </w:rPr>
        <w:t xml:space="preserve">Because section 115BAC(6) makes the move irreversible, choosing a regime is an optimal stopping problem: the same class of problem as deciding when to exercise a financial option.</w:t>
      </w:r>
    </w:p>
    <w:p>
      <w:pPr>
        <w:spacing w:after="120" w:line="276"/>
      </w:pPr>
      <w:r>
        <w:rPr>
          <w:rFonts w:ascii="Calibri" w:cs="Calibri" w:eastAsia="Calibri" w:hAnsi="Calibri"/>
          <w:color w:val="1A1A2E"/>
          <w:sz w:val="21"/>
          <w:szCs w:val="21"/>
        </w:rPr>
        <w:t xml:space="preserve">The tool solves it by working backwards from retirement. For every future year and every income level it asks: what is cheaper — act now, or keep the option and decide later? This is called a dynamic program, and it produces advice a one-year comparison cannot reach.</w:t>
      </w:r>
    </w:p>
    <w:tbl>
      <w:tblPr>
        <w:tblW w:type="dxa" w:w="9360"/>
        <w:tblBorders>
          <w:top w:val="single" w:color="C9C2E8" w:sz="2"/>
          <w:left w:val="single" w:color="3B2E86" w:sz="18"/>
          <w:bottom w:val="single" w:color="C9C2E8" w:sz="2"/>
          <w:right w:val="single" w:color="C9C2E8" w:sz="2"/>
          <w:insideH w:val="none" w:sz="0"/>
          <w:insideV w:val="none" w:sz="0"/>
        </w:tblBorders>
      </w:tblPr>
      <w:tblGrid>
        <w:gridCol w:w="9360"/>
      </w:tblGrid>
      <w:tr>
        <w:tc>
          <w:tcPr>
            <w:tcW w:type="dxa" w:w="9360"/>
            <w:shd w:fill="F4F2FB" w:val="clear"/>
            <w:tcMar>
              <w:top w:type="dxa" w:w="160"/>
              <w:left w:type="dxa" w:w="200"/>
              <w:bottom w:type="dxa" w:w="160"/>
              <w:right w:type="dxa" w:w="200"/>
            </w:tcMar>
          </w:tcPr>
          <w:p>
            <w:pPr>
              <w:spacing w:after="100" w:line="276"/>
            </w:pPr>
            <w:r>
              <w:rPr>
                <w:rFonts w:ascii="Calibri" w:cs="Calibri" w:eastAsia="Calibri" w:hAnsi="Calibri"/>
                <w:b/>
                <w:bCs/>
                <w:color w:val="1A1A2E"/>
                <w:sz w:val="21"/>
                <w:szCs w:val="21"/>
              </w:rPr>
              <w:t xml:space="preserve">The demonstration case (Meera, a 29-year-old consultant):</w:t>
            </w:r>
          </w:p>
          <w:p>
            <w:pPr>
              <w:spacing w:after="100" w:line="276"/>
            </w:pPr>
            <w:r>
              <w:rPr>
                <w:rFonts w:ascii="Calibri" w:cs="Calibri" w:eastAsia="Calibri" w:hAnsi="Calibri"/>
                <w:b w:val="function bold() { [native code] }"/>
                <w:bCs w:val="function bold() { [native code] }"/>
                <w:color w:val="1A1A2E"/>
                <w:sz w:val="21"/>
                <w:szCs w:val="21"/>
              </w:rPr>
              <w:t xml:space="preserve">T</w:t>
            </w:r>
          </w:p>
          <w:p>
            <w:pPr>
              <w:spacing w:after="0" w:line="276"/>
            </w:pPr>
            <w:r>
              <w:rPr>
                <w:rFonts w:ascii="Calibri" w:cs="Calibri" w:eastAsia="Calibri" w:hAnsi="Calibri"/>
                <w:b/>
                <w:bCs/>
                <w:color w:val="1A1A2E"/>
                <w:sz w:val="21"/>
                <w:szCs w:val="21"/>
              </w:rPr>
              <w:t xml:space="preserve">This tool tells her not to. </w:t>
            </w:r>
            <w:r>
              <w:rPr>
                <w:rFonts w:ascii="Calibri" w:cs="Calibri" w:eastAsia="Calibri" w:hAnsi="Calibri"/>
                <w:color w:val="1A1A2E"/>
                <w:sz w:val="21"/>
                <w:szCs w:val="21"/>
              </w:rPr>
              <w:t xml:space="preserve">Her income is early in its growth and variable. Spending her once-in-a-lifetime move to save Rs.23,400 now costs her more than it gains, over the 31 working years she has left.</w:t>
            </w:r>
          </w:p>
        </w:tc>
      </w:tr>
    </w:tbl>
    <w:p>
      <w:pPr>
        <w:spacing w:after="120" w:line="276"/>
      </w:pPr>
      <w:r>
        <w:rPr>
          <w:rFonts w:ascii="Calibri" w:cs="Calibri" w:eastAsia="Calibri" w:hAnsi="Calibri"/>
          <w:color w:val="1A1A2E"/>
          <w:sz w:val="21"/>
          <w:szCs w:val="21"/>
        </w:rPr>
        <w:t xml:space="preserve">That is the headline result: a case where thinking ahead does not merely confirm the one-year answer, but reverses it.</w:t>
      </w:r>
    </w:p>
    <w:p>
      <w:pPr>
        <w:pStyle w:val="Heading2"/>
        <w:spacing w:after="110" w:before="260"/>
      </w:pPr>
      <w:r>
        <w:rPr>
          <w:rFonts w:ascii="Calibri" w:cs="Calibri" w:eastAsia="Calibri" w:hAnsi="Calibri"/>
          <w:b/>
          <w:bCs/>
          <w:color w:val="1A1A2E"/>
          <w:sz w:val="24"/>
          <w:szCs w:val="24"/>
        </w:rPr>
        <w:t xml:space="preserve">Feature 2 — Advance tax is a "newsvendor" problem</w:t>
      </w:r>
    </w:p>
    <w:p>
      <w:pPr>
        <w:spacing w:after="120" w:line="276"/>
      </w:pPr>
      <w:r>
        <w:rPr>
          <w:rFonts w:ascii="Calibri" w:cs="Calibri" w:eastAsia="Calibri" w:hAnsi="Calibri"/>
          <w:color w:val="1A1A2E"/>
          <w:sz w:val="21"/>
          <w:szCs w:val="21"/>
        </w:rPr>
        <w:t xml:space="preserve">On 15 June you must pay tax on money you have not earned yet. Underpaying costs 1% a month; overpaying earns back only 0.5%.</w:t>
      </w:r>
    </w:p>
    <w:p>
      <w:pPr>
        <w:spacing w:after="120" w:line="276"/>
      </w:pPr>
      <w:r>
        <w:rPr>
          <w:rFonts w:ascii="Calibri" w:cs="Calibri" w:eastAsia="Calibri" w:hAnsi="Calibri"/>
          <w:color w:val="1A1A2E"/>
          <w:sz w:val="21"/>
          <w:szCs w:val="21"/>
        </w:rPr>
        <w:t xml:space="preserve">This exact shape — choosing a quantity under uncertain demand, where running short and running over cost different amounts — is one of the oldest results in operations research, called the newsvendor problem. Its solution is not the expected value. It is a QUANTILE of the distribution:</w:t>
      </w:r>
    </w:p>
    <w:p>
      <w:pPr>
        <w:spacing w:after="160" w:before="100"/>
        <w:jc w:val="center"/>
      </w:pPr>
      <w:r>
        <w:rPr>
          <w:rFonts w:ascii="Consolas" w:cs="Consolas" w:eastAsia="Consolas" w:hAnsi="Consolas"/>
          <w:i/>
          <w:iCs/>
          <w:color w:val="3B2E86"/>
          <w:sz w:val="24"/>
          <w:szCs w:val="24"/>
        </w:rPr>
        <w:t xml:space="preserve">optimal payment  =  F ⁻¹ ( Cu / (Cu + Co) )</w:t>
      </w:r>
    </w:p>
    <w:p>
      <w:pPr>
        <w:spacing w:after="120" w:line="276"/>
      </w:pPr>
      <w:r>
        <w:rPr>
          <w:rFonts w:ascii="Calibri" w:cs="Calibri" w:eastAsia="Calibri" w:hAnsi="Calibri"/>
          <w:color w:val="1A1A2E"/>
          <w:sz w:val="21"/>
          <w:szCs w:val="21"/>
        </w:rPr>
        <w:t xml:space="preserve">where Cu is the cost of paying one rupee too little, and Co the cost of paying one rupee too much. We measured those costs on the real statutory rules rather than assuming them, and the ratio comes out around 0.67.</w:t>
      </w:r>
    </w:p>
    <w:tbl>
      <w:tblPr>
        <w:tblW w:type="dxa" w:w="9360"/>
        <w:tblBorders>
          <w:top w:val="single" w:color="C9C2E8" w:sz="2"/>
          <w:left w:val="single" w:color="3B2E86" w:sz="18"/>
          <w:bottom w:val="single" w:color="C9C2E8" w:sz="2"/>
          <w:right w:val="single" w:color="C9C2E8" w:sz="2"/>
          <w:insideH w:val="none" w:sz="0"/>
          <w:insideV w:val="none" w:sz="0"/>
        </w:tblBorders>
      </w:tblPr>
      <w:tblGrid>
        <w:gridCol w:w="9360"/>
      </w:tblGrid>
      <w:tr>
        <w:tc>
          <w:tcPr>
            <w:tcW w:type="dxa" w:w="9360"/>
            <w:shd w:fill="F4F2FB" w:val="clear"/>
            <w:tcMar>
              <w:top w:type="dxa" w:w="160"/>
              <w:left w:type="dxa" w:w="200"/>
              <w:bottom w:type="dxa" w:w="160"/>
              <w:right w:type="dxa" w:w="200"/>
            </w:tcMar>
          </w:tcPr>
          <w:p>
            <w:pPr>
              <w:spacing w:after="0" w:line="276"/>
            </w:pPr>
            <w:r>
              <w:rPr>
                <w:rFonts w:ascii="Calibri" w:cs="Calibri" w:eastAsia="Calibri" w:hAnsi="Calibri"/>
                <w:b/>
                <w:bCs/>
                <w:color w:val="1A1A2E"/>
                <w:sz w:val="21"/>
                <w:szCs w:val="21"/>
              </w:rPr>
              <w:t xml:space="preserve">The practical advice: </w:t>
            </w:r>
            <w:r>
              <w:rPr>
                <w:rFonts w:ascii="Calibri" w:cs="Calibri" w:eastAsia="Calibri" w:hAnsi="Calibri"/>
                <w:color w:val="1A1A2E"/>
                <w:sz w:val="21"/>
                <w:szCs w:val="21"/>
              </w:rPr>
              <w:t xml:space="preserve">pay at roughly the 67th percentile of your likely tax bill, not the middle. You should deliberately overpay relative to your best guess, because being short hurts about twice as much as being long.</w:t>
            </w:r>
          </w:p>
        </w:tc>
      </w:tr>
    </w:tbl>
    <w:p>
      <w:pPr>
        <w:spacing w:after="120" w:line="276"/>
      </w:pPr>
      <w:r>
        <w:rPr>
          <w:rFonts w:ascii="Calibri" w:cs="Calibri" w:eastAsia="Calibri" w:hAnsi="Calibri"/>
          <w:color w:val="1A1A2E"/>
          <w:sz w:val="21"/>
          <w:szCs w:val="21"/>
        </w:rPr>
        <w:t xml:space="preserve">That is counter-intuitive, actionable, and falls straight out of the statute once you stop pretending income is known in advance.</w:t>
      </w:r>
    </w:p>
    <w:p>
      <w:pPr>
        <w:pStyle w:val="Heading2"/>
        <w:spacing w:after="110" w:before="260"/>
      </w:pPr>
      <w:r>
        <w:rPr>
          <w:rFonts w:ascii="Calibri" w:cs="Calibri" w:eastAsia="Calibri" w:hAnsi="Calibri"/>
          <w:b/>
          <w:bCs/>
          <w:color w:val="1A1A2E"/>
          <w:sz w:val="24"/>
          <w:szCs w:val="24"/>
        </w:rPr>
        <w:t xml:space="preserve">Feature 3 — Where a limited budget should actually go</w:t>
      </w:r>
    </w:p>
    <w:p>
      <w:pPr>
        <w:spacing w:after="120" w:line="276"/>
      </w:pPr>
      <w:r>
        <w:rPr>
          <w:rFonts w:ascii="Calibri" w:cs="Calibri" w:eastAsia="Calibri" w:hAnsi="Calibri"/>
          <w:color w:val="1A1A2E"/>
          <w:sz w:val="21"/>
          <w:szCs w:val="21"/>
        </w:rPr>
        <w:t xml:space="preserve">Existing tools answer "what could you claim" by listing every deduction and filling every ceiling. That is the right answer for someone with unlimited cash, and nobody has unlimited cash.</w:t>
      </w:r>
    </w:p>
    <w:p>
      <w:pPr>
        <w:spacing w:after="120" w:line="276"/>
      </w:pPr>
      <w:r>
        <w:rPr>
          <w:rFonts w:ascii="Calibri" w:cs="Calibri" w:eastAsia="Calibri" w:hAnsi="Calibri"/>
          <w:color w:val="1A1A2E"/>
          <w:sz w:val="21"/>
          <w:szCs w:val="21"/>
        </w:rPr>
        <w:t xml:space="preserve">The real February question is narrower: I have Rs.50,000 left. Where does it go? With a budget, which deduction you reach FIRST is the entire decision, and a fixed list walked in a fixed order cannot see that.</w:t>
      </w:r>
    </w:p>
    <w:p>
      <w:pPr>
        <w:spacing w:after="120" w:line="276"/>
      </w:pPr>
      <w:r>
        <w:rPr>
          <w:rFonts w:ascii="Calibri" w:cs="Calibri" w:eastAsia="Calibri" w:hAnsi="Calibri"/>
          <w:b/>
          <w:bCs/>
          <w:color w:val="1A1A2E"/>
          <w:sz w:val="21"/>
          <w:szCs w:val="21"/>
        </w:rPr>
        <w:t xml:space="preserve">Two things a naive optimiser gets badly wrong:</w:t>
      </w:r>
    </w:p>
    <w:p>
      <w:pPr>
        <w:pStyle w:val="ListParagraph"/>
        <w:numPr>
          <w:ilvl w:val="0"/>
          <w:numId w:val="2"/>
        </w:numPr>
        <w:spacing w:after="80" w:line="276"/>
      </w:pPr>
      <w:r>
        <w:rPr>
          <w:rFonts w:ascii="Calibri" w:cs="Calibri" w:eastAsia="Calibri" w:hAnsi="Calibri"/>
          <w:color w:val="1A1A2E"/>
          <w:sz w:val="21"/>
          <w:szCs w:val="21"/>
        </w:rPr>
        <w:t xml:space="preserve">Minimising tax is the WRONG goal. Ask a solver to minimise tax and it tells you to donate everything to charity — a rupee given away removes a rupee from taxable income and saves you thirty paise. You are seventy paise poorer and the solver reports a triumph.</w:t>
      </w:r>
    </w:p>
    <w:p>
      <w:pPr>
        <w:pStyle w:val="ListParagraph"/>
        <w:numPr>
          <w:ilvl w:val="0"/>
          <w:numId w:val="2"/>
        </w:numPr>
        <w:spacing w:after="80" w:line="276"/>
      </w:pPr>
      <w:r>
        <w:rPr>
          <w:rFonts w:ascii="Calibri" w:cs="Calibri" w:eastAsia="Calibri" w:hAnsi="Calibri"/>
          <w:color w:val="1A1A2E"/>
          <w:sz w:val="21"/>
          <w:szCs w:val="21"/>
        </w:rPr>
        <w:t xml:space="preserve">The budget changes the order. Without one you eventually reach every deduction, so order does not matter. With one, it is everything.</w:t>
      </w:r>
    </w:p>
    <w:p>
      <w:pPr>
        <w:spacing w:after="120" w:line="276"/>
      </w:pPr>
      <w:r>
        <w:rPr>
          <w:rFonts w:ascii="Calibri" w:cs="Calibri" w:eastAsia="Calibri" w:hAnsi="Calibri"/>
          <w:color w:val="1A1A2E"/>
          <w:sz w:val="21"/>
          <w:szCs w:val="21"/>
        </w:rPr>
        <w:t xml:space="preserve">So the goal here is tax PLUS what the action really costs you. Money in ELSS is still yours and only costs its lock-in (priced at 3%). NPS is locked until you are 60 (10%). A donation is simply gone (100%). Donations are deliberately offered to the optimiser so that refusing them is a genuine refusal — and across every test taxpayer, it never once chooses to donate.</w:t>
      </w:r>
    </w:p>
    <w:p>
      <w:pPr>
        <w:pBdr>
          <w:bottom w:val="single" w:color="D9D9E3" w:sz="6"/>
        </w:pBdr>
        <w:spacing w:after="200" w:before="60"/>
      </w:pPr>
      <w:r>
        <w:rPr>
          <w:sz w:val="2"/>
          <w:szCs w:val="2"/>
        </w:rPr>
        <w:t xml:space="preserve"/>
      </w:r>
    </w:p>
    <w:p>
      <w:r>
        <w:br w:type="page"/>
      </w:r>
    </w:p>
    <w:p>
      <w:pPr>
        <w:pStyle w:val="Heading1"/>
        <w:spacing w:after="160" w:before="360"/>
      </w:pPr>
      <w:r>
        <w:rPr>
          <w:rFonts w:ascii="Calibri" w:cs="Calibri" w:eastAsia="Calibri" w:hAnsi="Calibri"/>
          <w:b/>
          <w:bCs/>
          <w:color w:val="3B2E86"/>
          <w:sz w:val="30"/>
          <w:szCs w:val="30"/>
        </w:rPr>
        <w:t xml:space="preserve">4.  The machine learning</w:t>
      </w:r>
    </w:p>
    <w:p>
      <w:pPr>
        <w:spacing w:after="120" w:line="276"/>
      </w:pPr>
      <w:r>
        <w:rPr>
          <w:rFonts w:ascii="Calibri" w:cs="Calibri" w:eastAsia="Calibri" w:hAnsi="Calibri"/>
          <w:color w:val="1A1A2E"/>
          <w:sz w:val="21"/>
          <w:szCs w:val="21"/>
        </w:rPr>
        <w:t xml:space="preserve">The ML here is not decoration. Features 1 and 2 are mathematically impossible without it, and they need the same thing: a forecast of next year’s income.</w:t>
      </w:r>
    </w:p>
    <w:p>
      <w:pPr>
        <w:pStyle w:val="Heading2"/>
        <w:spacing w:after="110" w:before="260"/>
      </w:pPr>
      <w:r>
        <w:rPr>
          <w:rFonts w:ascii="Calibri" w:cs="Calibri" w:eastAsia="Calibri" w:hAnsi="Calibri"/>
          <w:b/>
          <w:bCs/>
          <w:color w:val="1A1A2E"/>
          <w:sz w:val="24"/>
          <w:szCs w:val="24"/>
        </w:rPr>
        <w:t xml:space="preserve">Why a distribution, not a number</w:t>
      </w:r>
    </w:p>
    <w:p>
      <w:pPr>
        <w:spacing w:after="120" w:line="276"/>
      </w:pPr>
      <w:r>
        <w:rPr>
          <w:rFonts w:ascii="Calibri" w:cs="Calibri" w:eastAsia="Calibri" w:hAnsi="Calibri"/>
          <w:color w:val="1A1A2E"/>
          <w:sz w:val="21"/>
          <w:szCs w:val="21"/>
        </w:rPr>
        <w:t xml:space="preserve">A model predicting "you will earn Rs.17 lakh next year" is useless to both features. The advance tax optimiser needs the 67th percentile. The regime model needs to average over every income you might land on. Both need the SHAPE of the uncertainty, not its middle.</w:t>
      </w:r>
    </w:p>
    <w:p>
      <w:pPr>
        <w:spacing w:after="120" w:line="276"/>
      </w:pPr>
      <w:r>
        <w:rPr>
          <w:rFonts w:ascii="Calibri" w:cs="Calibri" w:eastAsia="Calibri" w:hAnsi="Calibri"/>
          <w:color w:val="1A1A2E"/>
          <w:sz w:val="21"/>
          <w:szCs w:val="21"/>
        </w:rPr>
        <w:t xml:space="preserve">So the model uses quantile regression, which estimates the whole distribution directly rather than assuming a shape for it. It is scored with pinball loss, the correct scoring rule for quantile forecasts.</w:t>
      </w:r>
    </w:p>
    <w:p>
      <w:pPr>
        <w:pStyle w:val="Heading2"/>
        <w:spacing w:after="110" w:before="260"/>
      </w:pPr>
      <w:r>
        <w:rPr>
          <w:rFonts w:ascii="Calibri" w:cs="Calibri" w:eastAsia="Calibri" w:hAnsi="Calibri"/>
          <w:b/>
          <w:bCs/>
          <w:color w:val="1A1A2E"/>
          <w:sz w:val="24"/>
          <w:szCs w:val="24"/>
        </w:rPr>
        <w:t xml:space="preserve">How it is built</w:t>
      </w:r>
    </w:p>
    <w:tbl>
      <w:tblPr>
        <w:tblW w:type="dxa" w:w="9360"/>
        <w:tblBorders>
          <w:top w:val="single" w:color="D9D9E3" w:sz="2"/>
          <w:left w:val="none" w:sz="0"/>
          <w:bottom w:val="single" w:color="D9D9E3" w:sz="2"/>
          <w:right w:val="none" w:sz="0"/>
          <w:insideH w:val="single" w:color="D9D9E3" w:sz="2"/>
          <w:insideV w:val="none" w:sz="0"/>
        </w:tblBorders>
      </w:tblPr>
      <w:tblGrid>
        <w:gridCol w:w="1900"/>
        <w:gridCol w:w="7460"/>
      </w:tblGrid>
      <w:tr>
        <w:trPr>
          <w:tblHeader/>
        </w:trPr>
        <w:tc>
          <w:tcPr>
            <w:tcW w:type="dxa" w:w="190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Stage</w:t>
            </w:r>
          </w:p>
        </w:tc>
        <w:tc>
          <w:tcPr>
            <w:tcW w:type="dxa" w:w="746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What happens</w:t>
            </w:r>
          </w:p>
        </w:tc>
      </w:tr>
      <w:tr>
        <w:tc>
          <w:tcPr>
            <w:tcW w:type="dxa" w:w="1900"/>
            <w:tcMar>
              <w:top w:type="dxa" w:w="90"/>
              <w:left w:type="dxa" w:w="140"/>
              <w:bottom w:type="dxa" w:w="90"/>
              <w:right w:type="dxa" w:w="140"/>
            </w:tcMar>
          </w:tcPr>
          <w:p>
            <w:pPr>
              <w:spacing w:after="0"/>
            </w:pPr>
            <w:r>
              <w:rPr>
                <w:rFonts w:ascii="Calibri" w:cs="Calibri" w:eastAsia="Calibri" w:hAnsi="Calibri"/>
                <w:color w:val="1A1A2E"/>
                <w:sz w:val="19"/>
                <w:szCs w:val="19"/>
              </w:rPr>
              <w:t xml:space="preserve">Data</w:t>
            </w:r>
          </w:p>
        </w:tc>
        <w:tc>
          <w:tcPr>
            <w:tcW w:type="dxa" w:w="7460"/>
            <w:tcMar>
              <w:top w:type="dxa" w:w="90"/>
              <w:left w:type="dxa" w:w="140"/>
              <w:bottom w:type="dxa" w:w="90"/>
              <w:right w:type="dxa" w:w="140"/>
            </w:tcMar>
          </w:tcPr>
          <w:p>
            <w:pPr>
              <w:spacing w:after="0"/>
            </w:pPr>
            <w:r>
              <w:rPr>
                <w:rFonts w:ascii="Calibri" w:cs="Calibri" w:eastAsia="Calibri" w:hAnsi="Calibri"/>
                <w:color w:val="1A1A2E"/>
                <w:sz w:val="19"/>
                <w:szCs w:val="19"/>
              </w:rPr>
              <w:t xml:space="preserve">A synthetic population of 8,000 simulated careers over 14 years — 112,000 taxpayer-years</w:t>
            </w:r>
          </w:p>
        </w:tc>
      </w:tr>
      <w:tr>
        <w:tc>
          <w:tcPr>
            <w:tcW w:type="dxa" w:w="1900"/>
            <w:tcMar>
              <w:top w:type="dxa" w:w="90"/>
              <w:left w:type="dxa" w:w="140"/>
              <w:bottom w:type="dxa" w:w="90"/>
              <w:right w:type="dxa" w:w="140"/>
            </w:tcMar>
          </w:tcPr>
          <w:p>
            <w:pPr>
              <w:spacing w:after="0"/>
            </w:pPr>
            <w:r>
              <w:rPr>
                <w:rFonts w:ascii="Calibri" w:cs="Calibri" w:eastAsia="Calibri" w:hAnsi="Calibri"/>
                <w:color w:val="1A1A2E"/>
                <w:sz w:val="19"/>
                <w:szCs w:val="19"/>
              </w:rPr>
              <w:t xml:space="preserve">Features</w:t>
            </w:r>
          </w:p>
        </w:tc>
        <w:tc>
          <w:tcPr>
            <w:tcW w:type="dxa" w:w="7460"/>
            <w:tcMar>
              <w:top w:type="dxa" w:w="90"/>
              <w:left w:type="dxa" w:w="140"/>
              <w:bottom w:type="dxa" w:w="90"/>
              <w:right w:type="dxa" w:w="140"/>
            </w:tcMar>
          </w:tcPr>
          <w:p>
            <w:pPr>
              <w:spacing w:after="0"/>
            </w:pPr>
            <w:r>
              <w:rPr>
                <w:rFonts w:ascii="Calibri" w:cs="Calibri" w:eastAsia="Calibri" w:hAnsi="Calibri"/>
                <w:color w:val="1A1A2E"/>
                <w:sz w:val="19"/>
                <w:szCs w:val="19"/>
              </w:rPr>
              <w:t xml:space="preserve">Income, age, experience, variable-pay share, recent growth, years since a job change, employment type, city</w:t>
            </w:r>
          </w:p>
        </w:tc>
      </w:tr>
      <w:tr>
        <w:tc>
          <w:tcPr>
            <w:tcW w:type="dxa" w:w="1900"/>
            <w:tcMar>
              <w:top w:type="dxa" w:w="90"/>
              <w:left w:type="dxa" w:w="140"/>
              <w:bottom w:type="dxa" w:w="90"/>
              <w:right w:type="dxa" w:w="140"/>
            </w:tcMar>
          </w:tcPr>
          <w:p>
            <w:pPr>
              <w:spacing w:after="0"/>
            </w:pPr>
            <w:r>
              <w:rPr>
                <w:rFonts w:ascii="Calibri" w:cs="Calibri" w:eastAsia="Calibri" w:hAnsi="Calibri"/>
                <w:color w:val="1A1A2E"/>
                <w:sz w:val="19"/>
                <w:szCs w:val="19"/>
              </w:rPr>
              <w:t xml:space="preserve">Models</w:t>
            </w:r>
          </w:p>
        </w:tc>
        <w:tc>
          <w:tcPr>
            <w:tcW w:type="dxa" w:w="7460"/>
            <w:tcMar>
              <w:top w:type="dxa" w:w="90"/>
              <w:left w:type="dxa" w:w="140"/>
              <w:bottom w:type="dxa" w:w="90"/>
              <w:right w:type="dxa" w:w="140"/>
            </w:tcMar>
          </w:tcPr>
          <w:p>
            <w:pPr>
              <w:spacing w:after="0"/>
            </w:pPr>
            <w:r>
              <w:rPr>
                <w:rFonts w:ascii="Calibri" w:cs="Calibri" w:eastAsia="Calibri" w:hAnsi="Calibri"/>
                <w:color w:val="1A1A2E"/>
                <w:sz w:val="19"/>
                <w:szCs w:val="19"/>
              </w:rPr>
              <w:t xml:space="preserve">Gradient-boosted quantile regression at 11 quantiles, plus a linear version for comparison</w:t>
            </w:r>
          </w:p>
        </w:tc>
      </w:tr>
      <w:tr>
        <w:tc>
          <w:tcPr>
            <w:tcW w:type="dxa" w:w="1900"/>
            <w:tcMar>
              <w:top w:type="dxa" w:w="90"/>
              <w:left w:type="dxa" w:w="140"/>
              <w:bottom w:type="dxa" w:w="90"/>
              <w:right w:type="dxa" w:w="140"/>
            </w:tcMar>
          </w:tcPr>
          <w:p>
            <w:pPr>
              <w:spacing w:after="0"/>
            </w:pPr>
            <w:r>
              <w:rPr>
                <w:rFonts w:ascii="Calibri" w:cs="Calibri" w:eastAsia="Calibri" w:hAnsi="Calibri"/>
                <w:color w:val="1A1A2E"/>
                <w:sz w:val="19"/>
                <w:szCs w:val="19"/>
              </w:rPr>
              <w:t xml:space="preserve">Baseline</w:t>
            </w:r>
          </w:p>
        </w:tc>
        <w:tc>
          <w:tcPr>
            <w:tcW w:type="dxa" w:w="7460"/>
            <w:tcMar>
              <w:top w:type="dxa" w:w="90"/>
              <w:left w:type="dxa" w:w="140"/>
              <w:bottom w:type="dxa" w:w="90"/>
              <w:right w:type="dxa" w:w="140"/>
            </w:tcMar>
          </w:tcPr>
          <w:p>
            <w:pPr>
              <w:spacing w:after="0"/>
            </w:pPr>
            <w:r>
              <w:rPr>
                <w:rFonts w:ascii="Calibri" w:cs="Calibri" w:eastAsia="Calibri" w:hAnsi="Calibri"/>
                <w:color w:val="1A1A2E"/>
                <w:sz w:val="19"/>
                <w:szCs w:val="19"/>
              </w:rPr>
              <w:t xml:space="preserve">A simple lognormal formula that needs no training at all</w:t>
            </w:r>
          </w:p>
        </w:tc>
      </w:tr>
      <w:tr>
        <w:tc>
          <w:tcPr>
            <w:tcW w:type="dxa" w:w="1900"/>
            <w:tcMar>
              <w:top w:type="dxa" w:w="90"/>
              <w:left w:type="dxa" w:w="140"/>
              <w:bottom w:type="dxa" w:w="90"/>
              <w:right w:type="dxa" w:w="140"/>
            </w:tcMar>
          </w:tcPr>
          <w:p>
            <w:pPr>
              <w:spacing w:after="0"/>
            </w:pPr>
            <w:r>
              <w:rPr>
                <w:rFonts w:ascii="Calibri" w:cs="Calibri" w:eastAsia="Calibri" w:hAnsi="Calibri"/>
                <w:color w:val="1A1A2E"/>
                <w:sz w:val="19"/>
                <w:szCs w:val="19"/>
              </w:rPr>
              <w:t xml:space="preserve">Export</w:t>
            </w:r>
          </w:p>
        </w:tc>
        <w:tc>
          <w:tcPr>
            <w:tcW w:type="dxa" w:w="7460"/>
            <w:tcMar>
              <w:top w:type="dxa" w:w="90"/>
              <w:left w:type="dxa" w:w="140"/>
              <w:bottom w:type="dxa" w:w="90"/>
              <w:right w:type="dxa" w:w="140"/>
            </w:tcMar>
          </w:tcPr>
          <w:p>
            <w:pPr>
              <w:spacing w:after="0"/>
            </w:pPr>
            <w:r>
              <w:rPr>
                <w:rFonts w:ascii="Calibri" w:cs="Calibri" w:eastAsia="Calibri" w:hAnsi="Calibri"/>
                <w:color w:val="1A1A2E"/>
                <w:sz w:val="19"/>
                <w:szCs w:val="19"/>
              </w:rPr>
              <w:t xml:space="preserve">Trained in Python, exported to JSON, scored in JavaScript in the browser</w:t>
            </w:r>
          </w:p>
        </w:tc>
      </w:tr>
    </w:tbl>
    <w:p>
      <w:pPr>
        <w:pStyle w:val="Heading2"/>
        <w:spacing w:after="110" w:before="260"/>
      </w:pPr>
      <w:r>
        <w:rPr>
          <w:rFonts w:ascii="Calibri" w:cs="Calibri" w:eastAsia="Calibri" w:hAnsi="Calibri"/>
          <w:b/>
          <w:bCs/>
          <w:color w:val="1A1A2E"/>
          <w:sz w:val="24"/>
          <w:szCs w:val="24"/>
        </w:rPr>
        <w:t xml:space="preserve">Being honest about the data</w:t>
      </w:r>
    </w:p>
    <w:tbl>
      <w:tblPr>
        <w:tblW w:type="dxa" w:w="9360"/>
        <w:tblBorders>
          <w:top w:val="single" w:color="C9C2E8" w:sz="2"/>
          <w:left w:val="single" w:color="3B2E86" w:sz="18"/>
          <w:bottom w:val="single" w:color="C9C2E8" w:sz="2"/>
          <w:right w:val="single" w:color="C9C2E8" w:sz="2"/>
          <w:insideH w:val="none" w:sz="0"/>
          <w:insideV w:val="none" w:sz="0"/>
        </w:tblBorders>
      </w:tblPr>
      <w:tblGrid>
        <w:gridCol w:w="9360"/>
      </w:tblGrid>
      <w:tr>
        <w:tc>
          <w:tcPr>
            <w:tcW w:type="dxa" w:w="9360"/>
            <w:shd w:fill="F4F2FB" w:val="clear"/>
            <w:tcMar>
              <w:top w:type="dxa" w:w="160"/>
              <w:left w:type="dxa" w:w="200"/>
              <w:bottom w:type="dxa" w:w="160"/>
              <w:right w:type="dxa" w:w="200"/>
            </w:tcMar>
          </w:tcPr>
          <w:p>
            <w:pPr>
              <w:spacing w:after="100" w:line="276"/>
            </w:pPr>
            <w:r>
              <w:rPr>
                <w:rFonts w:ascii="Calibri" w:cs="Calibri" w:eastAsia="Calibri" w:hAnsi="Calibri"/>
                <w:b w:val="function bold() { [native code] }"/>
                <w:bCs w:val="function bold() { [native code] }"/>
                <w:color w:val="1A1A2E"/>
                <w:sz w:val="21"/>
                <w:szCs w:val="21"/>
              </w:rPr>
              <w:t xml:space="preserve">T</w:t>
            </w:r>
          </w:p>
          <w:p>
            <w:pPr>
              <w:spacing w:after="0" w:line="276"/>
            </w:pPr>
            <w:r>
              <w:rPr>
                <w:rFonts w:ascii="Calibri" w:cs="Calibri" w:eastAsia="Calibri" w:hAnsi="Calibri"/>
                <w:b/>
                <w:bCs/>
                <w:color w:val="1A1A2E"/>
                <w:sz w:val="21"/>
                <w:szCs w:val="21"/>
              </w:rPr>
              <w:t xml:space="preserve">So the model is trained on a calibrated SYNTHETIC population. </w:t>
            </w:r>
            <w:r>
              <w:rPr>
                <w:rFonts w:ascii="Calibri" w:cs="Calibri" w:eastAsia="Calibri" w:hAnsi="Calibri"/>
                <w:color w:val="1A1A2E"/>
                <w:sz w:val="21"/>
                <w:szCs w:val="21"/>
              </w:rPr>
              <w:t xml:space="preserve">That is a legitimate way to build and test the machinery, but it must never be described as a model trained on real taxpayers. The correct phrase is "calibrated synthetic population", and the app carries that wording on screen with every prediction.</w:t>
            </w:r>
          </w:p>
        </w:tc>
      </w:tr>
    </w:tbl>
    <w:p>
      <w:pPr>
        <w:spacing w:after="120" w:line="276"/>
      </w:pPr>
      <w:r>
        <w:rPr>
          <w:rFonts w:ascii="Calibri" w:cs="Calibri" w:eastAsia="Calibri" w:hAnsi="Calibri"/>
          <w:color w:val="1A1A2E"/>
          <w:sz w:val="21"/>
          <w:szCs w:val="21"/>
        </w:rPr>
        <w:t xml:space="preserve">What "calibrated" means is narrow and specific: the simulation encodes facts that are not in dispute — incomes compound rather than add, growth slows with age, changing employer causes a jump that an annual increment does not, self-employment is more volatile than salaried work, and a good year makes the next year more likely to be good. The exact magnitudes are assumptions, and every one of them is a named constant in the source so it can be argued with.</w:t>
      </w:r>
    </w:p>
    <w:p>
      <w:pPr>
        <w:pStyle w:val="Heading2"/>
        <w:spacing w:after="110" w:before="260"/>
      </w:pPr>
      <w:r>
        <w:rPr>
          <w:rFonts w:ascii="Calibri" w:cs="Calibri" w:eastAsia="Calibri" w:hAnsi="Calibri"/>
          <w:b/>
          <w:bCs/>
          <w:color w:val="1A1A2E"/>
          <w:sz w:val="24"/>
          <w:szCs w:val="24"/>
        </w:rPr>
        <w:t xml:space="preserve">Does the model actually help? The interesting result</w:t>
      </w:r>
    </w:p>
    <w:p>
      <w:pPr>
        <w:spacing w:after="120" w:line="276"/>
      </w:pPr>
      <w:r>
        <w:rPr>
          <w:rFonts w:ascii="Calibri" w:cs="Calibri" w:eastAsia="Calibri" w:hAnsi="Calibri"/>
          <w:color w:val="1A1A2E"/>
          <w:sz w:val="21"/>
          <w:szCs w:val="21"/>
        </w:rPr>
        <w:t xml:space="preserve">The trained model beat the untrained baseline by 5.6% on pinball loss. But "5.6% better on a statistical metric" does not tell a taxpayer anything, so we asked the real question: how many rupees is it worth?</w:t>
      </w:r>
    </w:p>
    <w:p>
      <w:pPr>
        <w:spacing w:after="120" w:line="276"/>
      </w:pPr>
      <w:r>
        <w:rPr>
          <w:rFonts w:ascii="Calibri" w:cs="Calibri" w:eastAsia="Calibri" w:hAnsi="Calibri"/>
          <w:color w:val="1A1A2E"/>
          <w:sz w:val="21"/>
          <w:szCs w:val="21"/>
        </w:rPr>
        <w:t xml:space="preserve">Measured against income that ACTUALLY happened on held-out data, the first answer was that the model LOST Rs.986 per year. We nearly reported that as a clean negative result.</w:t>
      </w:r>
    </w:p>
    <w:p>
      <w:pPr>
        <w:spacing w:after="120" w:line="276"/>
      </w:pPr>
      <w:r>
        <w:rPr>
          <w:rFonts w:ascii="Calibri" w:cs="Calibri" w:eastAsia="Calibri" w:hAnsi="Calibri"/>
          <w:b/>
          <w:bCs/>
          <w:color w:val="1A1A2E"/>
          <w:sz w:val="21"/>
          <w:szCs w:val="21"/>
        </w:rPr>
        <w:t xml:space="preserve">The measurement was wrong, and the error is the most instructive thing in this project. </w:t>
      </w:r>
      <w:r>
        <w:rPr>
          <w:rFonts w:ascii="Calibri" w:cs="Calibri" w:eastAsia="Calibri" w:hAnsi="Calibri"/>
          <w:color w:val="1A1A2E"/>
          <w:sz w:val="21"/>
          <w:szCs w:val="21"/>
        </w:rPr>
        <w:t xml:space="preserve">The best percentile to pay at depends on how spread out your forecast is. Forcing both models to pay at the same percentile handicaps whichever one is differently calibrated. Letting each choose its own operating point reverses the result completely:</w:t>
      </w:r>
    </w:p>
    <w:tbl>
      <w:tblPr>
        <w:tblW w:type="dxa" w:w="9360"/>
        <w:tblBorders>
          <w:top w:val="single" w:color="D9D9E3" w:sz="2"/>
          <w:left w:val="none" w:sz="0"/>
          <w:bottom w:val="single" w:color="D9D9E3" w:sz="2"/>
          <w:right w:val="none" w:sz="0"/>
          <w:insideH w:val="single" w:color="D9D9E3" w:sz="2"/>
          <w:insideV w:val="none" w:sz="0"/>
        </w:tblBorders>
      </w:tblPr>
      <w:tblGrid>
        <w:gridCol w:w="3000"/>
        <w:gridCol w:w="3180"/>
        <w:gridCol w:w="3180"/>
      </w:tblGrid>
      <w:tr>
        <w:trPr>
          <w:tblHeader/>
        </w:trPr>
        <w:tc>
          <w:tcPr>
            <w:tcW w:type="dxa" w:w="300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
            </w:r>
          </w:p>
        </w:tc>
        <w:tc>
          <w:tcPr>
            <w:tcW w:type="dxa" w:w="318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Untrained baseline</w:t>
            </w:r>
          </w:p>
        </w:tc>
        <w:tc>
          <w:tcPr>
            <w:tcW w:type="dxa" w:w="318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Trained model</w:t>
            </w:r>
          </w:p>
        </w:tc>
      </w:tr>
      <w:tr>
        <w:tc>
          <w:tcPr>
            <w:tcW w:type="dxa" w:w="3000"/>
            <w:tcMar>
              <w:top w:type="dxa" w:w="90"/>
              <w:left w:type="dxa" w:w="140"/>
              <w:bottom w:type="dxa" w:w="90"/>
              <w:right w:type="dxa" w:w="140"/>
            </w:tcMar>
          </w:tcPr>
          <w:p>
            <w:pPr>
              <w:spacing w:after="0"/>
            </w:pPr>
            <w:r>
              <w:rPr>
                <w:rFonts w:ascii="Calibri" w:cs="Calibri" w:eastAsia="Calibri" w:hAnsi="Calibri"/>
                <w:color w:val="1A1A2E"/>
                <w:sz w:val="19"/>
                <w:szCs w:val="19"/>
              </w:rPr>
              <w:t xml:space="preserve">Chooses to pay at</w:t>
            </w:r>
          </w:p>
        </w:tc>
        <w:tc>
          <w:tcPr>
            <w:tcW w:type="dxa" w:w="3180"/>
            <w:tcMar>
              <w:top w:type="dxa" w:w="90"/>
              <w:left w:type="dxa" w:w="140"/>
              <w:bottom w:type="dxa" w:w="90"/>
              <w:right w:type="dxa" w:w="140"/>
            </w:tcMar>
          </w:tcPr>
          <w:p>
            <w:pPr>
              <w:spacing w:after="0"/>
            </w:pPr>
            <w:r>
              <w:rPr>
                <w:rFonts w:ascii="Calibri" w:cs="Calibri" w:eastAsia="Calibri" w:hAnsi="Calibri"/>
                <w:color w:val="1A1A2E"/>
                <w:sz w:val="19"/>
                <w:szCs w:val="19"/>
              </w:rPr>
              <w:t xml:space="preserve">72nd percentile</w:t>
            </w:r>
          </w:p>
        </w:tc>
        <w:tc>
          <w:tcPr>
            <w:tcW w:type="dxa" w:w="3180"/>
            <w:tcMar>
              <w:top w:type="dxa" w:w="90"/>
              <w:left w:type="dxa" w:w="140"/>
              <w:bottom w:type="dxa" w:w="90"/>
              <w:right w:type="dxa" w:w="140"/>
            </w:tcMar>
          </w:tcPr>
          <w:p>
            <w:pPr>
              <w:spacing w:after="0"/>
            </w:pPr>
            <w:r>
              <w:rPr>
                <w:rFonts w:ascii="Calibri" w:cs="Calibri" w:eastAsia="Calibri" w:hAnsi="Calibri"/>
                <w:color w:val="1A1A2E"/>
                <w:sz w:val="19"/>
                <w:szCs w:val="19"/>
              </w:rPr>
              <w:t xml:space="preserve">52nd percentile</w:t>
            </w:r>
          </w:p>
        </w:tc>
      </w:tr>
      <w:tr>
        <w:tc>
          <w:tcPr>
            <w:tcW w:type="dxa" w:w="3000"/>
            <w:tcMar>
              <w:top w:type="dxa" w:w="90"/>
              <w:left w:type="dxa" w:w="140"/>
              <w:bottom w:type="dxa" w:w="90"/>
              <w:right w:type="dxa" w:w="140"/>
            </w:tcMar>
          </w:tcPr>
          <w:p>
            <w:pPr>
              <w:spacing w:after="0"/>
            </w:pPr>
            <w:r>
              <w:rPr>
                <w:rFonts w:ascii="Calibri" w:cs="Calibri" w:eastAsia="Calibri" w:hAnsi="Calibri"/>
                <w:color w:val="1A1A2E"/>
                <w:sz w:val="19"/>
                <w:szCs w:val="19"/>
              </w:rPr>
              <w:t xml:space="preserve">Cost per taxpayer-year</w:t>
            </w:r>
          </w:p>
        </w:tc>
        <w:tc>
          <w:tcPr>
            <w:tcW w:type="dxa" w:w="3180"/>
            <w:tcMar>
              <w:top w:type="dxa" w:w="90"/>
              <w:left w:type="dxa" w:w="140"/>
              <w:bottom w:type="dxa" w:w="90"/>
              <w:right w:type="dxa" w:w="140"/>
            </w:tcMar>
          </w:tcPr>
          <w:p>
            <w:pPr>
              <w:spacing w:after="0"/>
            </w:pPr>
            <w:r>
              <w:rPr>
                <w:rFonts w:ascii="Calibri" w:cs="Calibri" w:eastAsia="Calibri" w:hAnsi="Calibri"/>
                <w:color w:val="1A1A2E"/>
                <w:sz w:val="19"/>
                <w:szCs w:val="19"/>
              </w:rPr>
              <w:t xml:space="preserve">Rs.1,01,020</w:t>
            </w:r>
          </w:p>
        </w:tc>
        <w:tc>
          <w:tcPr>
            <w:tcW w:type="dxa" w:w="3180"/>
            <w:tcMar>
              <w:top w:type="dxa" w:w="90"/>
              <w:left w:type="dxa" w:w="140"/>
              <w:bottom w:type="dxa" w:w="90"/>
              <w:right w:type="dxa" w:w="140"/>
            </w:tcMar>
          </w:tcPr>
          <w:p>
            <w:pPr>
              <w:spacing w:after="0"/>
            </w:pPr>
            <w:r>
              <w:rPr>
                <w:rFonts w:ascii="Calibri" w:cs="Calibri" w:eastAsia="Calibri" w:hAnsi="Calibri"/>
                <w:color w:val="1A1A2E"/>
                <w:sz w:val="19"/>
                <w:szCs w:val="19"/>
              </w:rPr>
              <w:t xml:space="preserve">Rs.99,543</w:t>
            </w:r>
          </w:p>
        </w:tc>
      </w:tr>
      <w:tr>
        <w:tc>
          <w:tcPr>
            <w:tcW w:type="dxa" w:w="3000"/>
            <w:tcMar>
              <w:top w:type="dxa" w:w="90"/>
              <w:left w:type="dxa" w:w="140"/>
              <w:bottom w:type="dxa" w:w="90"/>
              <w:right w:type="dxa" w:w="140"/>
            </w:tcMar>
          </w:tcPr>
          <w:p>
            <w:pPr>
              <w:spacing w:after="0"/>
            </w:pPr>
            <w:r>
              <w:rPr>
                <w:rFonts w:ascii="Calibri" w:cs="Calibri" w:eastAsia="Calibri" w:hAnsi="Calibri"/>
                <w:color w:val="1A1A2E"/>
                <w:sz w:val="19"/>
                <w:szCs w:val="19"/>
              </w:rPr>
              <w:t xml:space="preserve">Cheaper in</w:t>
            </w:r>
          </w:p>
        </w:tc>
        <w:tc>
          <w:tcPr>
            <w:tcW w:type="dxa" w:w="3180"/>
            <w:tcMar>
              <w:top w:type="dxa" w:w="90"/>
              <w:left w:type="dxa" w:w="140"/>
              <w:bottom w:type="dxa" w:w="90"/>
              <w:right w:type="dxa" w:w="140"/>
            </w:tcMar>
          </w:tcPr>
          <w:p>
            <w:pPr>
              <w:spacing w:after="0"/>
            </w:pPr>
            <w:r>
              <w:rPr>
                <w:rFonts w:ascii="Calibri" w:cs="Calibri" w:eastAsia="Calibri" w:hAnsi="Calibri"/>
                <w:color w:val="1A1A2E"/>
                <w:sz w:val="19"/>
                <w:szCs w:val="19"/>
              </w:rPr>
              <w:t xml:space="preserve">—</w:t>
            </w:r>
          </w:p>
        </w:tc>
        <w:tc>
          <w:tcPr>
            <w:tcW w:type="dxa" w:w="3180"/>
            <w:tcMar>
              <w:top w:type="dxa" w:w="90"/>
              <w:left w:type="dxa" w:w="140"/>
              <w:bottom w:type="dxa" w:w="90"/>
              <w:right w:type="dxa" w:w="140"/>
            </w:tcMar>
          </w:tcPr>
          <w:p>
            <w:pPr>
              <w:spacing w:after="0"/>
            </w:pPr>
            <w:r>
              <w:rPr>
                <w:rFonts w:ascii="Calibri" w:cs="Calibri" w:eastAsia="Calibri" w:hAnsi="Calibri"/>
                <w:color w:val="1A1A2E"/>
                <w:sz w:val="19"/>
                <w:szCs w:val="19"/>
              </w:rPr>
              <w:t xml:space="preserve">61.6% of decided cases</w:t>
            </w:r>
          </w:p>
        </w:tc>
      </w:tr>
    </w:tbl>
    <w:p>
      <w:pPr>
        <w:spacing w:after="120" w:line="276"/>
      </w:pPr>
      <w:r>
        <w:rPr>
          <w:rFonts w:ascii="Calibri" w:cs="Calibri" w:eastAsia="Calibri" w:hAnsi="Calibri"/>
          <w:color w:val="1A1A2E"/>
          <w:sz w:val="21"/>
          <w:szCs w:val="21"/>
        </w:rPr>
        <w:t xml:space="preserve">The trained model is worth about Rs.1,477 per taxpayer per year — and the mechanism is visible in that table. The simple baseline cannot represent the fact that a bad year tends to be followed by another bad year, so it underestimates how spread out incomes are, and has to over-pay at the 72nd percentile to buy safety. The better-calibrated model gets the same safety at the median.</w:t>
      </w:r>
    </w:p>
    <w:p>
      <w:pPr>
        <w:pBdr>
          <w:bottom w:val="single" w:color="D9D9E3" w:sz="6"/>
        </w:pBdr>
        <w:spacing w:after="200" w:before="60"/>
      </w:pPr>
      <w:r>
        <w:rPr>
          <w:sz w:val="2"/>
          <w:szCs w:val="2"/>
        </w:rPr>
        <w:t xml:space="preserve"/>
      </w:r>
    </w:p>
    <w:p>
      <w:pPr>
        <w:pStyle w:val="Heading1"/>
        <w:spacing w:after="160" w:before="360"/>
      </w:pPr>
      <w:r>
        <w:rPr>
          <w:rFonts w:ascii="Calibri" w:cs="Calibri" w:eastAsia="Calibri" w:hAnsi="Calibri"/>
          <w:b/>
          <w:bCs/>
          <w:color w:val="3B2E86"/>
          <w:sz w:val="30"/>
          <w:szCs w:val="30"/>
        </w:rPr>
        <w:t xml:space="preserve">5.  How Claude is used — and how it is fenced in</w:t>
      </w:r>
    </w:p>
    <w:p>
      <w:pPr>
        <w:spacing w:after="120" w:line="276"/>
      </w:pPr>
      <w:r>
        <w:rPr>
          <w:rFonts w:ascii="Calibri" w:cs="Calibri" w:eastAsia="Calibri" w:hAnsi="Calibri"/>
          <w:color w:val="1A1A2E"/>
          <w:sz w:val="21"/>
          <w:szCs w:val="21"/>
        </w:rPr>
        <w:t xml:space="preserve">Claude is wired into the intake screen. You describe yourself in a sentence and it fills the form.</w:t>
      </w:r>
    </w:p>
    <w:p>
      <w:pPr>
        <w:spacing w:after="120" w:line="276"/>
      </w:pPr>
      <w:r>
        <w:rPr>
          <w:rFonts w:ascii="Calibri" w:cs="Calibri" w:eastAsia="Calibri" w:hAnsi="Calibri"/>
          <w:b/>
          <w:bCs/>
          <w:color w:val="1A1A2E"/>
          <w:sz w:val="21"/>
          <w:szCs w:val="21"/>
        </w:rPr>
        <w:t xml:space="preserve">What Claude is NOT allowed to do is compute anything. </w:t>
      </w:r>
      <w:r>
        <w:rPr>
          <w:rFonts w:ascii="Calibri" w:cs="Calibri" w:eastAsia="Calibri" w:hAnsi="Calibri"/>
          <w:color w:val="1A1A2E"/>
          <w:sz w:val="21"/>
          <w:szCs w:val="21"/>
        </w:rPr>
        <w:t xml:space="preserve">It never works out tax, never chooses a regime, never produces a figure that is not a direct restatement of something you said. A wrong tax number delivered fluently is worse than no tool at all.</w:t>
      </w:r>
    </w:p>
    <w:p>
      <w:pPr>
        <w:pStyle w:val="Heading2"/>
        <w:spacing w:after="110" w:before="260"/>
      </w:pPr>
      <w:r>
        <w:rPr>
          <w:rFonts w:ascii="Calibri" w:cs="Calibri" w:eastAsia="Calibri" w:hAnsi="Calibri"/>
          <w:b/>
          <w:bCs/>
          <w:color w:val="1A1A2E"/>
          <w:sz w:val="24"/>
          <w:szCs w:val="24"/>
        </w:rPr>
        <w:t xml:space="preserve">Three defences</w:t>
      </w:r>
    </w:p>
    <w:tbl>
      <w:tblPr>
        <w:tblW w:type="dxa" w:w="9360"/>
        <w:tblBorders>
          <w:top w:val="single" w:color="D9D9E3" w:sz="2"/>
          <w:left w:val="none" w:sz="0"/>
          <w:bottom w:val="single" w:color="D9D9E3" w:sz="2"/>
          <w:right w:val="none" w:sz="0"/>
          <w:insideH w:val="single" w:color="D9D9E3" w:sz="2"/>
          <w:insideV w:val="none" w:sz="0"/>
        </w:tblBorders>
      </w:tblPr>
      <w:tblGrid>
        <w:gridCol w:w="2100"/>
        <w:gridCol w:w="7260"/>
      </w:tblGrid>
      <w:tr>
        <w:trPr>
          <w:tblHeader/>
        </w:trPr>
        <w:tc>
          <w:tcPr>
            <w:tcW w:type="dxa" w:w="210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Defence</w:t>
            </w:r>
          </w:p>
        </w:tc>
        <w:tc>
          <w:tcPr>
            <w:tcW w:type="dxa" w:w="726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How it works</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Structured output</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Claude is given a tool definition and must answer by calling it. There is no free-text route into the profile at all, so there is nothing to misparse.</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Schema validation</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Every returned field is checked. Unknown fields are dropped, not merged. Negative amounts are refused. Invalid categories leave the safe default standing.</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Citation firewall</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Any section of the Act that Claude mentions is checked against our rulebook. Anything we do not implement is shown to the user as unverified rather than as fact.</w:t>
            </w:r>
          </w:p>
        </w:tc>
      </w:tr>
    </w:tbl>
    <w:p>
      <w:pPr>
        <w:spacing w:after="120" w:line="276"/>
      </w:pPr>
      <w:r>
        <w:rPr>
          <w:rFonts w:ascii="Calibri" w:cs="Calibri" w:eastAsia="Calibri" w:hAnsi="Calibri"/>
          <w:color w:val="1A1A2E"/>
          <w:sz w:val="21"/>
          <w:szCs w:val="21"/>
        </w:rPr>
        <w:t xml:space="preserve">These were tested against a deliberately bad response. Claude was made to return an invented section 80ZZZ, a "taxPayable" field where it tried to do the arithmetic itself, a house status of "rented" that is not a valid option, and a citation of section 91B which this tool does not implement.</w:t>
      </w:r>
    </w:p>
    <w:tbl>
      <w:tblPr>
        <w:tblW w:type="dxa" w:w="9360"/>
        <w:tblBorders>
          <w:top w:val="single" w:color="C9C2E8" w:sz="2"/>
          <w:left w:val="single" w:color="3B2E86" w:sz="18"/>
          <w:bottom w:val="single" w:color="C9C2E8" w:sz="2"/>
          <w:right w:val="single" w:color="C9C2E8" w:sz="2"/>
          <w:insideH w:val="none" w:sz="0"/>
          <w:insideV w:val="none" w:sz="0"/>
        </w:tblBorders>
      </w:tblPr>
      <w:tblGrid>
        <w:gridCol w:w="9360"/>
      </w:tblGrid>
      <w:tr>
        <w:tc>
          <w:tcPr>
            <w:tcW w:type="dxa" w:w="9360"/>
            <w:shd w:fill="F4F2FB" w:val="clear"/>
            <w:tcMar>
              <w:top w:type="dxa" w:w="160"/>
              <w:left w:type="dxa" w:w="200"/>
              <w:bottom w:type="dxa" w:w="160"/>
              <w:right w:type="dxa" w:w="200"/>
            </w:tcMar>
          </w:tcPr>
          <w:p>
            <w:pPr>
              <w:spacing w:after="0" w:line="276"/>
            </w:pPr>
            <w:r>
              <w:rPr>
                <w:rFonts w:ascii="Calibri" w:cs="Calibri" w:eastAsia="Calibri" w:hAnsi="Calibri"/>
                <w:b/>
                <w:bCs/>
                <w:color w:val="1A1A2E"/>
                <w:sz w:val="21"/>
                <w:szCs w:val="21"/>
              </w:rPr>
              <w:t xml:space="preserve">All four were caught and reported on screen. The four legitimate fields alongside them went through normally. </w:t>
            </w:r>
            <w:r>
              <w:rPr>
                <w:rFonts w:ascii="Calibri" w:cs="Calibri" w:eastAsia="Calibri" w:hAnsi="Calibri"/>
                <w:color w:val="1A1A2E"/>
                <w:sz w:val="21"/>
                <w:szCs w:val="21"/>
              </w:rPr>
              <w:t xml:space="preserve">That rejection panel is visible during the demo — it is a working defence, not a claim in a README.</w:t>
            </w:r>
          </w:p>
        </w:tc>
      </w:tr>
    </w:tbl>
    <w:p>
      <w:pPr>
        <w:spacing w:after="120" w:line="276"/>
      </w:pPr>
      <w:r>
        <w:rPr>
          <w:rFonts w:ascii="Calibri" w:cs="Calibri" w:eastAsia="Calibri" w:hAnsi="Calibri"/>
          <w:b/>
          <w:bCs/>
          <w:color w:val="1A1A2E"/>
          <w:sz w:val="21"/>
          <w:szCs w:val="21"/>
        </w:rPr>
        <w:t xml:space="preserve">One honest warning: </w:t>
      </w:r>
      <w:r>
        <w:rPr>
          <w:rFonts w:ascii="Calibri" w:cs="Calibri" w:eastAsia="Calibri" w:hAnsi="Calibri"/>
          <w:color w:val="1A1A2E"/>
          <w:sz w:val="21"/>
          <w:szCs w:val="21"/>
        </w:rPr>
        <w:t xml:space="preserve">the API key sits in the browser. That is fine for a demo run locally and is NOT fine for anything deployed publicly, because a key in a public page will be found and used. A real deployment would put a small server in front and keep the key there.</w:t>
      </w:r>
    </w:p>
    <w:p>
      <w:pPr>
        <w:pBdr>
          <w:bottom w:val="single" w:color="D9D9E3" w:sz="6"/>
        </w:pBdr>
        <w:spacing w:after="200" w:before="60"/>
      </w:pPr>
      <w:r>
        <w:rPr>
          <w:sz w:val="2"/>
          <w:szCs w:val="2"/>
        </w:rPr>
        <w:t xml:space="preserve"/>
      </w:r>
    </w:p>
    <w:p>
      <w:r>
        <w:br w:type="page"/>
      </w:r>
    </w:p>
    <w:p>
      <w:pPr>
        <w:pStyle w:val="Heading1"/>
        <w:spacing w:after="160" w:before="360"/>
      </w:pPr>
      <w:r>
        <w:rPr>
          <w:rFonts w:ascii="Calibri" w:cs="Calibri" w:eastAsia="Calibri" w:hAnsi="Calibri"/>
          <w:b/>
          <w:bCs/>
          <w:color w:val="3B2E86"/>
          <w:sz w:val="30"/>
          <w:szCs w:val="30"/>
        </w:rPr>
        <w:t xml:space="preserve">6.  How it is built</w:t>
      </w:r>
    </w:p>
    <w:p>
      <w:pPr>
        <w:spacing w:after="120" w:line="276"/>
      </w:pPr>
      <w:r>
        <w:rPr>
          <w:rFonts w:ascii="Calibri" w:cs="Calibri" w:eastAsia="Calibri" w:hAnsi="Calibri"/>
          <w:color w:val="1A1A2E"/>
          <w:sz w:val="21"/>
          <w:szCs w:val="21"/>
        </w:rPr>
        <w:t xml:space="preserve">Plain JavaScript, no framework, no build step. It opens in a browser and nothing leaves your computer. Python is used only offline, to train the model.</w:t>
      </w:r>
    </w:p>
    <w:tbl>
      <w:tblPr>
        <w:tblW w:type="dxa" w:w="9360"/>
        <w:tblBorders>
          <w:top w:val="single" w:color="D9D9E3" w:sz="2"/>
          <w:left w:val="none" w:sz="0"/>
          <w:bottom w:val="single" w:color="D9D9E3" w:sz="2"/>
          <w:right w:val="none" w:sz="0"/>
          <w:insideH w:val="single" w:color="D9D9E3" w:sz="2"/>
          <w:insideV w:val="none" w:sz="0"/>
        </w:tblBorders>
      </w:tblPr>
      <w:tblGrid>
        <w:gridCol w:w="2100"/>
        <w:gridCol w:w="7260"/>
      </w:tblGrid>
      <w:tr>
        <w:trPr>
          <w:tblHeader/>
        </w:trPr>
        <w:tc>
          <w:tcPr>
            <w:tcW w:type="dxa" w:w="210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File</w:t>
            </w:r>
          </w:p>
        </w:tc>
        <w:tc>
          <w:tcPr>
            <w:tcW w:type="dxa" w:w="726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Role</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rulebook.js</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Tax rates, limits, sections and forms, written as DATA rather than code</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engine.js</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The deterministic 10-step tax computation. Every number in the app comes from here</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advisor.js</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The original rule-based advice</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interest.js</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Sections 234B, 234C and 244A as a cost function</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forecast.js</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The income forecaster — simple formula, or trained model when present</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advancetax.js</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Feature 2, the newsvendor optimiser</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stopping.js</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Feature 1, the dynamic program for the regime option</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allocate.js</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Feature 3, the exact budget allocator</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llm.js</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Claude intake, validation and the citation firewall</w:t>
            </w:r>
          </w:p>
        </w:tc>
      </w:tr>
      <w:tr>
        <w:tc>
          <w:tcPr>
            <w:tcW w:type="dxa" w:w="2100"/>
            <w:tcMar>
              <w:top w:type="dxa" w:w="90"/>
              <w:left w:type="dxa" w:w="140"/>
              <w:bottom w:type="dxa" w:w="90"/>
              <w:right w:type="dxa" w:w="140"/>
            </w:tcMar>
          </w:tcPr>
          <w:p>
            <w:pPr>
              <w:spacing w:after="0"/>
            </w:pPr>
            <w:r>
              <w:rPr>
                <w:rFonts w:ascii="Calibri" w:cs="Calibri" w:eastAsia="Calibri" w:hAnsi="Calibri"/>
                <w:color w:val="1A1A2E"/>
                <w:sz w:val="19"/>
                <w:szCs w:val="19"/>
              </w:rPr>
              <w:t xml:space="preserve">ml/ (Python)</w:t>
            </w:r>
          </w:p>
        </w:tc>
        <w:tc>
          <w:tcPr>
            <w:tcW w:type="dxa" w:w="7260"/>
            <w:tcMar>
              <w:top w:type="dxa" w:w="90"/>
              <w:left w:type="dxa" w:w="140"/>
              <w:bottom w:type="dxa" w:w="90"/>
              <w:right w:type="dxa" w:w="140"/>
            </w:tcMar>
          </w:tcPr>
          <w:p>
            <w:pPr>
              <w:spacing w:after="0"/>
            </w:pPr>
            <w:r>
              <w:rPr>
                <w:rFonts w:ascii="Calibri" w:cs="Calibri" w:eastAsia="Calibri" w:hAnsi="Calibri"/>
                <w:color w:val="1A1A2E"/>
                <w:sz w:val="19"/>
                <w:szCs w:val="19"/>
              </w:rPr>
              <w:t xml:space="preserve">Population generator, model training, and the value-in-rupees study</w:t>
            </w:r>
          </w:p>
        </w:tc>
      </w:tr>
    </w:tbl>
    <w:p>
      <w:pPr>
        <w:pStyle w:val="Heading2"/>
        <w:spacing w:after="110" w:before="260"/>
      </w:pPr>
      <w:r>
        <w:rPr>
          <w:rFonts w:ascii="Calibri" w:cs="Calibri" w:eastAsia="Calibri" w:hAnsi="Calibri"/>
          <w:b/>
          <w:bCs/>
          <w:color w:val="1A1A2E"/>
          <w:sz w:val="24"/>
          <w:szCs w:val="24"/>
        </w:rPr>
        <w:t xml:space="preserve">An engineering decision worth explaining</w:t>
      </w:r>
    </w:p>
    <w:p>
      <w:pPr>
        <w:spacing w:after="120" w:line="276"/>
      </w:pPr>
      <w:r>
        <w:rPr>
          <w:rFonts w:ascii="Calibri" w:cs="Calibri" w:eastAsia="Calibri" w:hAnsi="Calibri"/>
          <w:color w:val="1A1A2E"/>
          <w:sz w:val="21"/>
          <w:szCs w:val="21"/>
        </w:rPr>
        <w:t xml:space="preserve">Feature 3 looks like it needs a mixed-integer programming solver. We did not use one, because the problem breaks apart neatly: for a fixed total deduction the tax is already decided, so the cheapest way to reach it is a simple greedy fill, which is provably optimal. That makes the whole thing one-dimensional, and its best answer must sit at one of a handful of points we can list exactly.</w:t>
      </w:r>
    </w:p>
    <w:p>
      <w:pPr>
        <w:spacing w:after="120" w:line="276"/>
      </w:pPr>
      <w:r>
        <w:rPr>
          <w:rFonts w:ascii="Calibri" w:cs="Calibri" w:eastAsia="Calibri" w:hAnsi="Calibri"/>
          <w:color w:val="1A1A2E"/>
          <w:sz w:val="21"/>
          <w:szCs w:val="21"/>
        </w:rPr>
        <w:t xml:space="preserve">The result is exact to within Rs.10 — and that Rs.10 is not slack in our search. It is the rounding built into section 288A of the Act itself. No dependency, nothing to tune, and unlike a black-box solver, the answer arrives with its reasoning attached.</w:t>
      </w:r>
    </w:p>
    <w:p>
      <w:pPr>
        <w:pStyle w:val="Heading2"/>
        <w:spacing w:after="110" w:before="260"/>
      </w:pPr>
      <w:r>
        <w:rPr>
          <w:rFonts w:ascii="Calibri" w:cs="Calibri" w:eastAsia="Calibri" w:hAnsi="Calibri"/>
          <w:b/>
          <w:bCs/>
          <w:color w:val="1A1A2E"/>
          <w:sz w:val="24"/>
          <w:szCs w:val="24"/>
        </w:rPr>
        <w:t xml:space="preserve">Making it fast</w:t>
      </w:r>
    </w:p>
    <w:p>
      <w:pPr>
        <w:spacing w:after="120" w:line="276"/>
      </w:pPr>
      <w:r>
        <w:rPr>
          <w:rFonts w:ascii="Calibri" w:cs="Calibri" w:eastAsia="Calibri" w:hAnsi="Calibri"/>
          <w:color w:val="1A1A2E"/>
          <w:sz w:val="21"/>
          <w:szCs w:val="21"/>
        </w:rPr>
        <w:t xml:space="preserve">With the trained model loaded, a full analysis originally took about ten seconds. That is unusable in front of an audience. It now takes about 0.2 seconds — roughly fifty times faster — from three changes:</w:t>
      </w:r>
    </w:p>
    <w:p>
      <w:pPr>
        <w:pStyle w:val="ListParagraph"/>
        <w:numPr>
          <w:ilvl w:val="0"/>
          <w:numId w:val="2"/>
        </w:numPr>
        <w:spacing w:after="80" w:line="276"/>
      </w:pPr>
      <w:r>
        <w:rPr>
          <w:rFonts w:ascii="Calibri" w:cs="Calibri" w:eastAsia="Calibri" w:hAnsi="Calibri"/>
          <w:color w:val="1A1A2E"/>
          <w:sz w:val="21"/>
          <w:szCs w:val="21"/>
        </w:rPr>
        <w:t xml:space="preserve">The income grid is laid out using the simple formula rather than the trained model, because where the grid points sit is a discretisation choice, not a forecast. That alone was 20 million tree calculations.</w:t>
      </w:r>
    </w:p>
    <w:p>
      <w:pPr>
        <w:pStyle w:val="ListParagraph"/>
        <w:numPr>
          <w:ilvl w:val="0"/>
          <w:numId w:val="2"/>
        </w:numPr>
        <w:spacing w:after="80" w:line="276"/>
      </w:pPr>
      <w:r>
        <w:rPr>
          <w:rFonts w:ascii="Calibri" w:cs="Calibri" w:eastAsia="Calibri" w:hAnsi="Calibri"/>
          <w:color w:val="1A1A2E"/>
          <w:sz w:val="21"/>
          <w:szCs w:val="21"/>
        </w:rPr>
        <w:t xml:space="preserve">Transition tables are reused across five-year age bands, because rebuilding one per year is finer than the resolution the forecaster actually has.</w:t>
      </w:r>
    </w:p>
    <w:p>
      <w:pPr>
        <w:pStyle w:val="ListParagraph"/>
        <w:numPr>
          <w:ilvl w:val="0"/>
          <w:numId w:val="2"/>
        </w:numPr>
        <w:spacing w:after="80" w:line="276"/>
      </w:pPr>
      <w:r>
        <w:rPr>
          <w:rFonts w:ascii="Calibri" w:cs="Calibri" w:eastAsia="Calibri" w:hAnsi="Calibri"/>
          <w:color w:val="1A1A2E"/>
          <w:sz w:val="21"/>
          <w:szCs w:val="21"/>
        </w:rPr>
        <w:t xml:space="preserve">Finding the nearest grid point is now arithmetic instead of a search. This was the real bottleneck at the end — shrinking the model from 150 trees to 45 changed the runtime by 0.01 seconds, which is what pointed at it.</w:t>
      </w:r>
    </w:p>
    <w:p>
      <w:pPr>
        <w:pBdr>
          <w:bottom w:val="single" w:color="D9D9E3" w:sz="6"/>
        </w:pBdr>
        <w:spacing w:after="200" w:before="60"/>
      </w:pPr>
      <w:r>
        <w:rPr>
          <w:sz w:val="2"/>
          <w:szCs w:val="2"/>
        </w:rPr>
        <w:t xml:space="preserve"/>
      </w:r>
    </w:p>
    <w:p>
      <w:pPr>
        <w:pStyle w:val="Heading1"/>
        <w:spacing w:after="160" w:before="360"/>
      </w:pPr>
      <w:r>
        <w:rPr>
          <w:rFonts w:ascii="Calibri" w:cs="Calibri" w:eastAsia="Calibri" w:hAnsi="Calibri"/>
          <w:b/>
          <w:bCs/>
          <w:color w:val="3B2E86"/>
          <w:sz w:val="30"/>
          <w:szCs w:val="30"/>
        </w:rPr>
        <w:t xml:space="preserve">7.  Testing, and the bugs it caught</w:t>
      </w:r>
    </w:p>
    <w:p>
      <w:pPr>
        <w:spacing w:after="120" w:line="276"/>
      </w:pPr>
      <w:r>
        <w:rPr>
          <w:rFonts w:ascii="Calibri" w:cs="Calibri" w:eastAsia="Calibri" w:hAnsi="Calibri"/>
          <w:color w:val="1A1A2E"/>
          <w:sz w:val="21"/>
          <w:szCs w:val="21"/>
        </w:rPr>
        <w:t xml:space="preserve">188 automated tests across eight suites. They do not just check numbers; the harder ones check PROPERTIES that must be true if the mathematics is right. That is what caught the real bugs — and a dynamic program hides bugs well, because every number it prints looks plausible.</w:t>
      </w:r>
    </w:p>
    <w:tbl>
      <w:tblPr>
        <w:tblW w:type="dxa" w:w="9360"/>
        <w:tblBorders>
          <w:top w:val="single" w:color="D9D9E3" w:sz="2"/>
          <w:left w:val="none" w:sz="0"/>
          <w:bottom w:val="single" w:color="D9D9E3" w:sz="2"/>
          <w:right w:val="none" w:sz="0"/>
          <w:insideH w:val="single" w:color="D9D9E3" w:sz="2"/>
          <w:insideV w:val="none" w:sz="0"/>
        </w:tblBorders>
      </w:tblPr>
      <w:tblGrid>
        <w:gridCol w:w="3400"/>
        <w:gridCol w:w="5960"/>
      </w:tblGrid>
      <w:tr>
        <w:trPr>
          <w:tblHeader/>
        </w:trPr>
        <w:tc>
          <w:tcPr>
            <w:tcW w:type="dxa" w:w="340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What the test asserted</w:t>
            </w:r>
          </w:p>
        </w:tc>
        <w:tc>
          <w:tcPr>
            <w:tcW w:type="dxa" w:w="596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What it found</w:t>
            </w:r>
          </w:p>
        </w:tc>
      </w:tr>
      <w:tr>
        <w:tc>
          <w:tcPr>
            <w:tcW w:type="dxa" w:w="3400"/>
            <w:tcMar>
              <w:top w:type="dxa" w:w="90"/>
              <w:left w:type="dxa" w:w="140"/>
              <w:bottom w:type="dxa" w:w="90"/>
              <w:right w:type="dxa" w:w="140"/>
            </w:tcMar>
          </w:tcPr>
          <w:p>
            <w:pPr>
              <w:spacing w:after="0"/>
            </w:pPr>
            <w:r>
              <w:rPr>
                <w:rFonts w:ascii="Calibri" w:cs="Calibri" w:eastAsia="Calibri" w:hAnsi="Calibri"/>
                <w:color w:val="1A1A2E"/>
                <w:sz w:val="19"/>
                <w:szCs w:val="19"/>
              </w:rPr>
              <w:t xml:space="preserve">Holding an unspent option can never be worse than having spent it</w:t>
            </w:r>
          </w:p>
        </w:tc>
        <w:tc>
          <w:tcPr>
            <w:tcW w:type="dxa" w:w="5960"/>
            <w:tcMar>
              <w:top w:type="dxa" w:w="90"/>
              <w:left w:type="dxa" w:w="140"/>
              <w:bottom w:type="dxa" w:w="90"/>
              <w:right w:type="dxa" w:w="140"/>
            </w:tcMar>
          </w:tcPr>
          <w:p>
            <w:pPr>
              <w:spacing w:after="0"/>
            </w:pPr>
            <w:r>
              <w:rPr>
                <w:rFonts w:ascii="Calibri" w:cs="Calibri" w:eastAsia="Calibri" w:hAnsi="Calibri"/>
                <w:color w:val="1A1A2E"/>
                <w:sz w:val="19"/>
                <w:szCs w:val="19"/>
              </w:rPr>
              <w:t xml:space="preserve">A wrong ending condition, off by Rs.90 lakh, that implied a taxpayer could never opt out again</w:t>
            </w:r>
          </w:p>
        </w:tc>
      </w:tr>
      <w:tr>
        <w:tc>
          <w:tcPr>
            <w:tcW w:type="dxa" w:w="3400"/>
            <w:tcMar>
              <w:top w:type="dxa" w:w="90"/>
              <w:left w:type="dxa" w:w="140"/>
              <w:bottom w:type="dxa" w:w="90"/>
              <w:right w:type="dxa" w:w="140"/>
            </w:tcMar>
          </w:tcPr>
          <w:p>
            <w:pPr>
              <w:spacing w:after="0"/>
            </w:pPr>
            <w:r>
              <w:rPr>
                <w:rFonts w:ascii="Calibri" w:cs="Calibri" w:eastAsia="Calibri" w:hAnsi="Calibri"/>
                <w:color w:val="1A1A2E"/>
                <w:sz w:val="19"/>
                <w:szCs w:val="19"/>
              </w:rPr>
              <w:t xml:space="preserve">Advice must be for THIS taxpayer’s income</w:t>
            </w:r>
          </w:p>
        </w:tc>
        <w:tc>
          <w:tcPr>
            <w:tcW w:type="dxa" w:w="5960"/>
            <w:tcMar>
              <w:top w:type="dxa" w:w="90"/>
              <w:left w:type="dxa" w:w="140"/>
              <w:bottom w:type="dxa" w:w="90"/>
              <w:right w:type="dxa" w:w="140"/>
            </w:tcMar>
          </w:tcPr>
          <w:p>
            <w:pPr>
              <w:spacing w:after="0"/>
            </w:pPr>
            <w:r>
              <w:rPr>
                <w:rFonts w:ascii="Calibri" w:cs="Calibri" w:eastAsia="Calibri" w:hAnsi="Calibri"/>
                <w:color w:val="1A1A2E"/>
                <w:sz w:val="19"/>
                <w:szCs w:val="19"/>
              </w:rPr>
              <w:t xml:space="preserve">The recommendation was being read off the nearest grid point, which sat on the other side of the regime crossover — advice for a neighbouring income</w:t>
            </w:r>
          </w:p>
        </w:tc>
      </w:tr>
      <w:tr>
        <w:tc>
          <w:tcPr>
            <w:tcW w:type="dxa" w:w="3400"/>
            <w:tcMar>
              <w:top w:type="dxa" w:w="90"/>
              <w:left w:type="dxa" w:w="140"/>
              <w:bottom w:type="dxa" w:w="90"/>
              <w:right w:type="dxa" w:w="140"/>
            </w:tcMar>
          </w:tcPr>
          <w:p>
            <w:pPr>
              <w:spacing w:after="0"/>
            </w:pPr>
            <w:r>
              <w:rPr>
                <w:rFonts w:ascii="Calibri" w:cs="Calibri" w:eastAsia="Calibri" w:hAnsi="Calibri"/>
                <w:color w:val="1A1A2E"/>
                <w:sz w:val="19"/>
                <w:szCs w:val="19"/>
              </w:rPr>
              <w:t xml:space="preserve">Random search must never beat an "optimal" solver</w:t>
            </w:r>
          </w:p>
        </w:tc>
        <w:tc>
          <w:tcPr>
            <w:tcW w:type="dxa" w:w="5960"/>
            <w:tcMar>
              <w:top w:type="dxa" w:w="90"/>
              <w:left w:type="dxa" w:w="140"/>
              <w:bottom w:type="dxa" w:w="90"/>
              <w:right w:type="dxa" w:w="140"/>
            </w:tcMar>
          </w:tcPr>
          <w:p>
            <w:pPr>
              <w:spacing w:after="0"/>
            </w:pPr>
            <w:r>
              <w:rPr>
                <w:rFonts w:ascii="Calibri" w:cs="Calibri" w:eastAsia="Calibri" w:hAnsi="Calibri"/>
                <w:color w:val="1A1A2E"/>
                <w:sz w:val="19"/>
                <w:szCs w:val="19"/>
              </w:rPr>
              <w:t xml:space="preserve">The allocator was buying Rs.54,000 of 80C deduction that did not exist, for anyone with a home loan, because it re-derived a rule the engine already knew</w:t>
            </w:r>
          </w:p>
        </w:tc>
      </w:tr>
      <w:tr>
        <w:tc>
          <w:tcPr>
            <w:tcW w:type="dxa" w:w="3400"/>
            <w:tcMar>
              <w:top w:type="dxa" w:w="90"/>
              <w:left w:type="dxa" w:w="140"/>
              <w:bottom w:type="dxa" w:w="90"/>
              <w:right w:type="dxa" w:w="140"/>
            </w:tcMar>
          </w:tcPr>
          <w:p>
            <w:pPr>
              <w:spacing w:after="0"/>
            </w:pPr>
            <w:r>
              <w:rPr>
                <w:rFonts w:ascii="Calibri" w:cs="Calibri" w:eastAsia="Calibri" w:hAnsi="Calibri"/>
                <w:color w:val="1A1A2E"/>
                <w:sz w:val="19"/>
                <w:szCs w:val="19"/>
              </w:rPr>
              <w:t xml:space="preserve">A trained model must be compared fairly</w:t>
            </w:r>
          </w:p>
        </w:tc>
        <w:tc>
          <w:tcPr>
            <w:tcW w:type="dxa" w:w="5960"/>
            <w:tcMar>
              <w:top w:type="dxa" w:w="90"/>
              <w:left w:type="dxa" w:w="140"/>
              <w:bottom w:type="dxa" w:w="90"/>
              <w:right w:type="dxa" w:w="140"/>
            </w:tcMar>
          </w:tcPr>
          <w:p>
            <w:pPr>
              <w:spacing w:after="0"/>
            </w:pPr>
            <w:r>
              <w:rPr>
                <w:rFonts w:ascii="Calibri" w:cs="Calibri" w:eastAsia="Calibri" w:hAnsi="Calibri"/>
                <w:color w:val="1A1A2E"/>
                <w:sz w:val="19"/>
                <w:szCs w:val="19"/>
              </w:rPr>
              <w:t xml:space="preserve">The value-in-rupees test was scoring each model against its own forecast — which let a confidently wrong model mark its own homework</w:t>
            </w:r>
          </w:p>
        </w:tc>
      </w:tr>
    </w:tbl>
    <w:p>
      <w:pPr>
        <w:spacing w:after="120" w:line="276"/>
      </w:pPr>
      <w:r>
        <w:rPr>
          <w:rFonts w:ascii="Calibri" w:cs="Calibri" w:eastAsia="Calibri" w:hAnsi="Calibri"/>
          <w:color w:val="1A1A2E"/>
          <w:sz w:val="21"/>
          <w:szCs w:val="21"/>
        </w:rPr>
        <w:t xml:space="preserve">The third one is worth a note. The fix was not to patch the formula but to stop re-deriving the Act in a second place: deduction headroom is now MEASURED by asking the engine, so it cannot drift out of step with the rulebook.</w:t>
      </w:r>
    </w:p>
    <w:p>
      <w:pPr>
        <w:pStyle w:val="Heading2"/>
        <w:spacing w:after="110" w:before="260"/>
      </w:pPr>
      <w:r>
        <w:rPr>
          <w:rFonts w:ascii="Calibri" w:cs="Calibri" w:eastAsia="Calibri" w:hAnsi="Calibri"/>
          <w:b/>
          <w:bCs/>
          <w:color w:val="1A1A2E"/>
          <w:sz w:val="24"/>
          <w:szCs w:val="24"/>
        </w:rPr>
        <w:t xml:space="preserve">One more piece of honesty</w:t>
      </w:r>
    </w:p>
    <w:p>
      <w:pPr>
        <w:spacing w:after="120" w:line="276"/>
      </w:pPr>
      <w:r>
        <w:rPr>
          <w:rFonts w:ascii="Calibri" w:cs="Calibri" w:eastAsia="Calibri" w:hAnsi="Calibri"/>
          <w:color w:val="1A1A2E"/>
          <w:sz w:val="21"/>
          <w:szCs w:val="21"/>
        </w:rPr>
        <w:t xml:space="preserve">The regime recommendation was unstable at first. The obvious diagnosis was "not enough random samples" — and that was wrong. Tripling the samples changed nothing; doubling the grid resolution settled it completely. The problem was that a coarse grid steps straight over the point where the regimes cross, and no amount of sampling fixes a model that cannot represent the thing being decided.</w:t>
      </w:r>
    </w:p>
    <w:p>
      <w:pPr>
        <w:spacing w:after="120" w:line="276"/>
      </w:pPr>
      <w:r>
        <w:rPr>
          <w:rFonts w:ascii="Calibri" w:cs="Calibri" w:eastAsia="Calibri" w:hAnsi="Calibri"/>
          <w:color w:val="1A1A2E"/>
          <w:sz w:val="21"/>
          <w:szCs w:val="21"/>
        </w:rPr>
        <w:t xml:space="preserve">Even so, the tool reports the DIRECTION of that advice, never a precise rupee margin — because the margin is a small difference between two lifetime figures of around six crore, and it genuinely is not stable.</w:t>
      </w:r>
    </w:p>
    <w:p>
      <w:pPr>
        <w:pBdr>
          <w:bottom w:val="single" w:color="D9D9E3" w:sz="6"/>
        </w:pBdr>
        <w:spacing w:after="200" w:before="60"/>
      </w:pPr>
      <w:r>
        <w:rPr>
          <w:sz w:val="2"/>
          <w:szCs w:val="2"/>
        </w:rPr>
        <w:t xml:space="preserve"/>
      </w:r>
    </w:p>
    <w:p>
      <w:pPr>
        <w:pStyle w:val="Heading1"/>
        <w:spacing w:after="160" w:before="360"/>
      </w:pPr>
      <w:r>
        <w:rPr>
          <w:rFonts w:ascii="Calibri" w:cs="Calibri" w:eastAsia="Calibri" w:hAnsi="Calibri"/>
          <w:b/>
          <w:bCs/>
          <w:color w:val="3B2E86"/>
          <w:sz w:val="30"/>
          <w:szCs w:val="30"/>
        </w:rPr>
        <w:t xml:space="preserve">8.  What this does not do</w:t>
      </w:r>
    </w:p>
    <w:p>
      <w:pPr>
        <w:spacing w:after="120" w:line="276"/>
      </w:pPr>
      <w:r>
        <w:rPr>
          <w:rFonts w:ascii="Calibri" w:cs="Calibri" w:eastAsia="Calibri" w:hAnsi="Calibri"/>
          <w:color w:val="1A1A2E"/>
          <w:sz w:val="21"/>
          <w:szCs w:val="21"/>
        </w:rPr>
        <w:t xml:space="preserve">Stated plainly, because a tax tool that hides its limits is dangerous:</w:t>
      </w:r>
    </w:p>
    <w:p>
      <w:pPr>
        <w:pStyle w:val="ListParagraph"/>
        <w:numPr>
          <w:ilvl w:val="0"/>
          <w:numId w:val="2"/>
        </w:numPr>
        <w:spacing w:after="80" w:line="276"/>
      </w:pPr>
      <w:r>
        <w:rPr>
          <w:rFonts w:ascii="Calibri" w:cs="Calibri" w:eastAsia="Calibri" w:hAnsi="Calibri"/>
          <w:color w:val="1A1A2E"/>
          <w:sz w:val="21"/>
          <w:szCs w:val="21"/>
        </w:rPr>
        <w:t xml:space="preserve">The model is trained on simulated data, not real taxpayers. The method would transfer to real data; the fitted numbers would not.</w:t>
      </w:r>
    </w:p>
    <w:p>
      <w:pPr>
        <w:pStyle w:val="ListParagraph"/>
        <w:numPr>
          <w:ilvl w:val="0"/>
          <w:numId w:val="2"/>
        </w:numPr>
        <w:spacing w:after="80" w:line="276"/>
      </w:pPr>
      <w:r>
        <w:rPr>
          <w:rFonts w:ascii="Calibri" w:cs="Calibri" w:eastAsia="Calibri" w:hAnsi="Calibri"/>
          <w:color w:val="1A1A2E"/>
          <w:sz w:val="21"/>
          <w:szCs w:val="21"/>
        </w:rPr>
        <w:t xml:space="preserve">It handles one person, not a household. Income splitting across family members, and the section 64 clubbing rules that constrain it, are not modelled.</w:t>
      </w:r>
    </w:p>
    <w:p>
      <w:pPr>
        <w:pStyle w:val="ListParagraph"/>
        <w:numPr>
          <w:ilvl w:val="0"/>
          <w:numId w:val="2"/>
        </w:numPr>
        <w:spacing w:after="80" w:line="276"/>
      </w:pPr>
      <w:r>
        <w:rPr>
          <w:rFonts w:ascii="Calibri" w:cs="Calibri" w:eastAsia="Calibri" w:hAnsi="Calibri"/>
          <w:color w:val="1A1A2E"/>
          <w:sz w:val="21"/>
          <w:szCs w:val="21"/>
        </w:rPr>
        <w:t xml:space="preserve">Losses carried forward from earlier years are not accepted.</w:t>
      </w:r>
    </w:p>
    <w:p>
      <w:pPr>
        <w:pStyle w:val="ListParagraph"/>
        <w:numPr>
          <w:ilvl w:val="0"/>
          <w:numId w:val="2"/>
        </w:numPr>
        <w:spacing w:after="80" w:line="276"/>
      </w:pPr>
      <w:r>
        <w:rPr>
          <w:rFonts w:ascii="Calibri" w:cs="Calibri" w:eastAsia="Calibri" w:hAnsi="Calibri"/>
          <w:color w:val="1A1A2E"/>
          <w:sz w:val="21"/>
          <w:szCs w:val="21"/>
        </w:rPr>
        <w:t xml:space="preserve">Capital gains are entered as totals. There is no lot-by-lot matching, no grandfathering under section 55(2)(ac), and no indexation election.</w:t>
      </w:r>
    </w:p>
    <w:p>
      <w:pPr>
        <w:pStyle w:val="ListParagraph"/>
        <w:numPr>
          <w:ilvl w:val="0"/>
          <w:numId w:val="2"/>
        </w:numPr>
        <w:spacing w:after="80" w:line="276"/>
      </w:pPr>
      <w:r>
        <w:rPr>
          <w:rFonts w:ascii="Calibri" w:cs="Calibri" w:eastAsia="Calibri" w:hAnsi="Calibri"/>
          <w:color w:val="1A1A2E"/>
          <w:sz w:val="21"/>
          <w:szCs w:val="21"/>
        </w:rPr>
        <w:t xml:space="preserve">Sections 54, 54F and 54EC are described but not computed.</w:t>
      </w:r>
    </w:p>
    <w:p>
      <w:pPr>
        <w:pStyle w:val="ListParagraph"/>
        <w:numPr>
          <w:ilvl w:val="0"/>
          <w:numId w:val="2"/>
        </w:numPr>
        <w:spacing w:after="80" w:line="276"/>
      </w:pPr>
      <w:r>
        <w:rPr>
          <w:rFonts w:ascii="Calibri" w:cs="Calibri" w:eastAsia="Calibri" w:hAnsi="Calibri"/>
          <w:color w:val="1A1A2E"/>
          <w:sz w:val="21"/>
          <w:szCs w:val="21"/>
        </w:rPr>
        <w:t xml:space="preserve">NRI and treaty situations are out of scope.</w:t>
      </w:r>
    </w:p>
    <w:p>
      <w:pPr>
        <w:pStyle w:val="ListParagraph"/>
        <w:numPr>
          <w:ilvl w:val="0"/>
          <w:numId w:val="2"/>
        </w:numPr>
        <w:spacing w:after="80" w:line="276"/>
      </w:pPr>
      <w:r>
        <w:rPr>
          <w:rFonts w:ascii="Calibri" w:cs="Calibri" w:eastAsia="Calibri" w:hAnsi="Calibri"/>
          <w:color w:val="1A1A2E"/>
          <w:sz w:val="21"/>
          <w:szCs w:val="21"/>
        </w:rPr>
        <w:t xml:space="preserve">The cost figures used for each investment (3% for ELSS, 10% for NPS, and so on) are reasoned assumptions, not measurements. They are written in one visible table so they can be changed and the answer re-run.</w:t>
      </w:r>
    </w:p>
    <w:p>
      <w:pPr>
        <w:spacing w:after="120" w:line="276"/>
      </w:pPr>
      <w:r>
        <w:rPr>
          <w:rFonts w:ascii="Calibri" w:cs="Calibri" w:eastAsia="Calibri" w:hAnsi="Calibri"/>
          <w:color w:val="1A1A2E"/>
          <w:sz w:val="21"/>
          <w:szCs w:val="21"/>
        </w:rPr>
        <w:t xml:space="preserve">This is a decision-support tool and a student project. It is not a substitute for a Chartered Accountant, and it should not be used as one.</w:t>
      </w:r>
    </w:p>
    <w:p>
      <w:pPr>
        <w:pBdr>
          <w:bottom w:val="single" w:color="D9D9E3" w:sz="6"/>
        </w:pBdr>
        <w:spacing w:after="200" w:before="60"/>
      </w:pPr>
      <w:r>
        <w:rPr>
          <w:sz w:val="2"/>
          <w:szCs w:val="2"/>
        </w:rPr>
        <w:t xml:space="preserve"/>
      </w:r>
    </w:p>
    <w:p>
      <w:pPr>
        <w:pStyle w:val="Heading1"/>
        <w:spacing w:after="160" w:before="360"/>
      </w:pPr>
      <w:r>
        <w:rPr>
          <w:rFonts w:ascii="Calibri" w:cs="Calibri" w:eastAsia="Calibri" w:hAnsi="Calibri"/>
          <w:b/>
          <w:bCs/>
          <w:color w:val="3B2E86"/>
          <w:sz w:val="30"/>
          <w:szCs w:val="30"/>
        </w:rPr>
        <w:t xml:space="preserve">9.  Summary</w:t>
      </w:r>
    </w:p>
    <w:tbl>
      <w:tblPr>
        <w:tblW w:type="dxa" w:w="9360"/>
        <w:tblBorders>
          <w:top w:val="single" w:color="D9D9E3" w:sz="2"/>
          <w:left w:val="none" w:sz="0"/>
          <w:bottom w:val="single" w:color="D9D9E3" w:sz="2"/>
          <w:right w:val="none" w:sz="0"/>
          <w:insideH w:val="single" w:color="D9D9E3" w:sz="2"/>
          <w:insideV w:val="none" w:sz="0"/>
        </w:tblBorders>
      </w:tblPr>
      <w:tblGrid>
        <w:gridCol w:w="2700"/>
        <w:gridCol w:w="6660"/>
      </w:tblGrid>
      <w:tr>
        <w:trPr>
          <w:tblHeader/>
        </w:trPr>
        <w:tc>
          <w:tcPr>
            <w:tcW w:type="dxa" w:w="270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Question</w:t>
            </w:r>
          </w:p>
        </w:tc>
        <w:tc>
          <w:tcPr>
            <w:tcW w:type="dxa" w:w="6660"/>
            <w:shd w:fill="EFEDF7" w:val="clear"/>
            <w:tcMar>
              <w:top w:type="dxa" w:w="100"/>
              <w:left w:type="dxa" w:w="140"/>
              <w:bottom w:type="dxa" w:w="100"/>
              <w:right w:type="dxa" w:w="140"/>
            </w:tcMar>
          </w:tcPr>
          <w:p>
            <w:pPr>
              <w:spacing w:after="0"/>
            </w:pPr>
            <w:r>
              <w:rPr>
                <w:rFonts w:ascii="Calibri" w:cs="Calibri" w:eastAsia="Calibri" w:hAnsi="Calibri"/>
                <w:b/>
                <w:bCs/>
                <w:color w:val="3B2E86"/>
                <w:sz w:val="19"/>
                <w:szCs w:val="19"/>
              </w:rPr>
              <w:t xml:space="preserve">What the tool contributes</w:t>
            </w:r>
          </w:p>
        </w:tc>
      </w:tr>
      <w:tr>
        <w:tc>
          <w:tcPr>
            <w:tcW w:type="dxa" w:w="2700"/>
            <w:tcMar>
              <w:top w:type="dxa" w:w="90"/>
              <w:left w:type="dxa" w:w="140"/>
              <w:bottom w:type="dxa" w:w="90"/>
              <w:right w:type="dxa" w:w="140"/>
            </w:tcMar>
          </w:tcPr>
          <w:p>
            <w:pPr>
              <w:spacing w:after="0"/>
            </w:pPr>
            <w:r>
              <w:rPr>
                <w:rFonts w:ascii="Calibri" w:cs="Calibri" w:eastAsia="Calibri" w:hAnsi="Calibri"/>
                <w:color w:val="1A1A2E"/>
                <w:sz w:val="19"/>
                <w:szCs w:val="19"/>
              </w:rPr>
              <w:t xml:space="preserve">Which regime should I choose?</w:t>
            </w:r>
          </w:p>
        </w:tc>
        <w:tc>
          <w:tcPr>
            <w:tcW w:type="dxa" w:w="6660"/>
            <w:tcMar>
              <w:top w:type="dxa" w:w="90"/>
              <w:left w:type="dxa" w:w="140"/>
              <w:bottom w:type="dxa" w:w="90"/>
              <w:right w:type="dxa" w:w="140"/>
            </w:tcMar>
          </w:tcPr>
          <w:p>
            <w:pPr>
              <w:spacing w:after="0"/>
            </w:pPr>
            <w:r>
              <w:rPr>
                <w:rFonts w:ascii="Calibri" w:cs="Calibri" w:eastAsia="Calibri" w:hAnsi="Calibri"/>
                <w:color w:val="1A1A2E"/>
                <w:sz w:val="19"/>
                <w:szCs w:val="19"/>
              </w:rPr>
              <w:t xml:space="preserve">Treats it as an irreversible option and solves it over a whole career, not one year. Reverses the standard advice in real cases.</w:t>
            </w:r>
          </w:p>
        </w:tc>
      </w:tr>
      <w:tr>
        <w:tc>
          <w:tcPr>
            <w:tcW w:type="dxa" w:w="2700"/>
            <w:tcMar>
              <w:top w:type="dxa" w:w="90"/>
              <w:left w:type="dxa" w:w="140"/>
              <w:bottom w:type="dxa" w:w="90"/>
              <w:right w:type="dxa" w:w="140"/>
            </w:tcMar>
          </w:tcPr>
          <w:p>
            <w:pPr>
              <w:spacing w:after="0"/>
            </w:pPr>
            <w:r>
              <w:rPr>
                <w:rFonts w:ascii="Calibri" w:cs="Calibri" w:eastAsia="Calibri" w:hAnsi="Calibri"/>
                <w:color w:val="1A1A2E"/>
                <w:sz w:val="19"/>
                <w:szCs w:val="19"/>
              </w:rPr>
              <w:t xml:space="preserve">How much advance tax in June?</w:t>
            </w:r>
          </w:p>
        </w:tc>
        <w:tc>
          <w:tcPr>
            <w:tcW w:type="dxa" w:w="6660"/>
            <w:tcMar>
              <w:top w:type="dxa" w:w="90"/>
              <w:left w:type="dxa" w:w="140"/>
              <w:bottom w:type="dxa" w:w="90"/>
              <w:right w:type="dxa" w:w="140"/>
            </w:tcMar>
          </w:tcPr>
          <w:p>
            <w:pPr>
              <w:spacing w:after="0"/>
            </w:pPr>
            <w:r>
              <w:rPr>
                <w:rFonts w:ascii="Calibri" w:cs="Calibri" w:eastAsia="Calibri" w:hAnsi="Calibri"/>
                <w:color w:val="1A1A2E"/>
                <w:sz w:val="19"/>
                <w:szCs w:val="19"/>
              </w:rPr>
              <w:t xml:space="preserve">Solves the statutory penalty asymmetry as a newsvendor problem. Answer: pay at about the 67th percentile, not the middle.</w:t>
            </w:r>
          </w:p>
        </w:tc>
      </w:tr>
      <w:tr>
        <w:tc>
          <w:tcPr>
            <w:tcW w:type="dxa" w:w="2700"/>
            <w:tcMar>
              <w:top w:type="dxa" w:w="90"/>
              <w:left w:type="dxa" w:w="140"/>
              <w:bottom w:type="dxa" w:w="90"/>
              <w:right w:type="dxa" w:w="140"/>
            </w:tcMar>
          </w:tcPr>
          <w:p>
            <w:pPr>
              <w:spacing w:after="0"/>
            </w:pPr>
            <w:r>
              <w:rPr>
                <w:rFonts w:ascii="Calibri" w:cs="Calibri" w:eastAsia="Calibri" w:hAnsi="Calibri"/>
                <w:color w:val="1A1A2E"/>
                <w:sz w:val="19"/>
                <w:szCs w:val="19"/>
              </w:rPr>
              <w:t xml:space="preserve">Where do I put my last Rs.50,000?</w:t>
            </w:r>
          </w:p>
        </w:tc>
        <w:tc>
          <w:tcPr>
            <w:tcW w:type="dxa" w:w="6660"/>
            <w:tcMar>
              <w:top w:type="dxa" w:w="90"/>
              <w:left w:type="dxa" w:w="140"/>
              <w:bottom w:type="dxa" w:w="90"/>
              <w:right w:type="dxa" w:w="140"/>
            </w:tcMar>
          </w:tcPr>
          <w:p>
            <w:pPr>
              <w:spacing w:after="0"/>
            </w:pPr>
            <w:r>
              <w:rPr>
                <w:rFonts w:ascii="Calibri" w:cs="Calibri" w:eastAsia="Calibri" w:hAnsi="Calibri"/>
                <w:color w:val="1A1A2E"/>
                <w:sz w:val="19"/>
                <w:szCs w:val="19"/>
              </w:rPr>
              <w:t xml:space="preserve">Exact allocation under a budget, priced on what each option really costs. Beats a rule list by up to Rs.23,400.</w:t>
            </w:r>
          </w:p>
        </w:tc>
      </w:tr>
      <w:tr>
        <w:tc>
          <w:tcPr>
            <w:tcW w:type="dxa" w:w="2700"/>
            <w:tcMar>
              <w:top w:type="dxa" w:w="90"/>
              <w:left w:type="dxa" w:w="140"/>
              <w:bottom w:type="dxa" w:w="90"/>
              <w:right w:type="dxa" w:w="140"/>
            </w:tcMar>
          </w:tcPr>
          <w:p>
            <w:pPr>
              <w:spacing w:after="0"/>
            </w:pPr>
            <w:r>
              <w:rPr>
                <w:rFonts w:ascii="Calibri" w:cs="Calibri" w:eastAsia="Calibri" w:hAnsi="Calibri"/>
                <w:color w:val="1A1A2E"/>
                <w:sz w:val="19"/>
                <w:szCs w:val="19"/>
              </w:rPr>
              <w:t xml:space="preserve">Can AI be trusted with tax?</w:t>
            </w:r>
          </w:p>
        </w:tc>
        <w:tc>
          <w:tcPr>
            <w:tcW w:type="dxa" w:w="6660"/>
            <w:tcMar>
              <w:top w:type="dxa" w:w="90"/>
              <w:left w:type="dxa" w:w="140"/>
              <w:bottom w:type="dxa" w:w="90"/>
              <w:right w:type="dxa" w:w="140"/>
            </w:tcMar>
          </w:tcPr>
          <w:p>
            <w:pPr>
              <w:spacing w:after="0"/>
            </w:pPr>
            <w:r>
              <w:rPr>
                <w:rFonts w:ascii="Calibri" w:cs="Calibri" w:eastAsia="Calibri" w:hAnsi="Calibri"/>
                <w:color w:val="1A1A2E"/>
                <w:sz w:val="19"/>
                <w:szCs w:val="19"/>
              </w:rPr>
              <w:t xml:space="preserve">Claude fills the form; the deterministic engine does every calculation. Validation and a citation firewall are demonstrably working.</w:t>
            </w:r>
          </w:p>
        </w:tc>
      </w:tr>
    </w:tbl>
    <w:p>
      <w:pPr>
        <w:spacing w:after="120" w:line="276"/>
      </w:pPr>
      <w:r>
        <w:rPr>
          <w:rFonts w:ascii="Calibri" w:cs="Calibri" w:eastAsia="Calibri" w:hAnsi="Calibri"/>
          <w:color w:val="1A1A2E"/>
          <w:sz w:val="21"/>
          <w:szCs w:val="21"/>
        </w:rPr>
        <w:t xml:space="preserve"/>
      </w:r>
    </w:p>
    <w:tbl>
      <w:tblPr>
        <w:tblW w:type="dxa" w:w="9360"/>
        <w:tblBorders>
          <w:top w:val="single" w:color="C9C2E8" w:sz="2"/>
          <w:left w:val="single" w:color="3B2E86" w:sz="18"/>
          <w:bottom w:val="single" w:color="C9C2E8" w:sz="2"/>
          <w:right w:val="single" w:color="C9C2E8" w:sz="2"/>
          <w:insideH w:val="none" w:sz="0"/>
          <w:insideV w:val="none" w:sz="0"/>
        </w:tblBorders>
      </w:tblPr>
      <w:tblGrid>
        <w:gridCol w:w="9360"/>
      </w:tblGrid>
      <w:tr>
        <w:tc>
          <w:tcPr>
            <w:tcW w:type="dxa" w:w="9360"/>
            <w:shd w:fill="F4F2FB" w:val="clear"/>
            <w:tcMar>
              <w:top w:type="dxa" w:w="160"/>
              <w:left w:type="dxa" w:w="200"/>
              <w:bottom w:type="dxa" w:w="160"/>
              <w:right w:type="dxa" w:w="200"/>
            </w:tcMar>
          </w:tcPr>
          <w:p>
            <w:pPr>
              <w:spacing w:after="0" w:line="276"/>
            </w:pPr>
            <w:r>
              <w:rPr>
                <w:rFonts w:ascii="Calibri" w:cs="Calibri" w:eastAsia="Calibri" w:hAnsi="Calibri"/>
                <w:b/>
                <w:bCs/>
                <w:color w:val="1A1A2E"/>
                <w:sz w:val="21"/>
                <w:szCs w:val="21"/>
              </w:rPr>
              <w:t xml:space="preserve">The line that sums up the whole project: </w:t>
            </w:r>
            <w:r>
              <w:rPr>
                <w:rFonts w:ascii="Calibri" w:cs="Calibri" w:eastAsia="Calibri" w:hAnsi="Calibri"/>
                <w:color w:val="1A1A2E"/>
                <w:sz w:val="21"/>
                <w:szCs w:val="21"/>
              </w:rPr>
              <w:t xml:space="preserve">a tax return records what already happened. The decisions that matter most are about what happens next — and those need uncertainty, irreversibility and budgets taken seriously, not averaged away.</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Optimisation Agent — Project Report</dc:title>
  <dc:creator>Tax Optimisation Agent</dc:creator>
  <dc:description>How the advanced features work, in plain language</dc:description>
  <cp:lastModifiedBy>Un-named</cp:lastModifiedBy>
  <cp:revision>1</cp:revision>
  <dcterms:created xsi:type="dcterms:W3CDTF">2026-09-08T11:10:49.528Z</dcterms:created>
  <dcterms:modified xsi:type="dcterms:W3CDTF">2026-09-08T11:10:49.528Z</dcterms:modified>
</cp:coreProperties>
</file>

<file path=docProps/custom.xml><?xml version="1.0" encoding="utf-8"?>
<Properties xmlns="http://schemas.openxmlformats.org/officeDocument/2006/custom-properties" xmlns:vt="http://schemas.openxmlformats.org/officeDocument/2006/docPropsVTypes"/>
</file>