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nan, inscrito(a) sob o CPF nº 128.015.399-70,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