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20" w:before="220" w:lineRule="auto"/>
        <w:ind w:left="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fffff" w:val="clear"/>
        <w:spacing w:after="220" w:before="220" w:lineRule="auto"/>
        <w:ind w:left="720" w:hanging="360"/>
        <w:rPr>
          <w:rFonts w:ascii="Calibri" w:cs="Calibri" w:eastAsia="Calibri" w:hAnsi="Calibri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Choosing a Topic: When starting new research, what is the single most important factor that influences your choice of topic (e.g., available funding, personal passion/curiosity, or direct alignment with a societal need/SDG)?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 usually choose a topic that is aligned with my primary research interest (managerial accounting), the funding and alignment with specific agenda items would be secondary consideration.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  <w:rPr>
          <w:rFonts w:ascii="Calibri" w:cs="Calibri" w:eastAsia="Calibri" w:hAnsi="Calibri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Choosing a Collaborator (Skills): Do you prefer a partner who has a very similar research expertise to yours (to deepen the work), or one who has a complementary skill set (to broaden the scope)?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 usually choose collaborators based on similar interest in topic but complementary skill set in tackling different methods, data skills, etc.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220" w:before="220" w:lineRule="auto"/>
        <w:ind w:left="720" w:hanging="360"/>
        <w:rPr>
          <w:rFonts w:ascii="Calibri" w:cs="Calibri" w:eastAsia="Calibri" w:hAnsi="Calibri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Key Metrics: If our dashboard were to give you a "Compatibility Score" (from 1-100) for a potential partner, what three specific metrics or pieces of information would you want that score to be based on to make it truly useful for you?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Research topic (...), 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Method (survey, experiment, archival, qualitative,),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Career stage (before tenure, after tenure, doctoral student)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Clearly present the two distinct paths (Faculty vs. Student/Donor) for the judges.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670"/>
        <w:gridCol w:w="4695"/>
        <w:tblGridChange w:id="0">
          <w:tblGrid>
            <w:gridCol w:w="1650"/>
            <w:gridCol w:w="2670"/>
            <w:gridCol w:w="4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Visual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Details to Include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A. "Join Us!"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Full-slide visual mockup.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Headline: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"Connect. Collaborate. Impact." (Use Illinois Blue/Orange).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B. Three 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Highlight the three calls to action as large, distinct buttons.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Find a Collaborator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(Faculty focus)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2. Find Opportunities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(Student focus)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3. Sponsor a Priority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(Donor focus)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910"/>
        <w:gridCol w:w="3870"/>
        <w:tblGridChange w:id="0">
          <w:tblGrid>
            <w:gridCol w:w="2235"/>
            <w:gridCol w:w="2910"/>
            <w:gridCol w:w="3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Door /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Who Clicks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What They Are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Find a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Faculty/Researchers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I have a project; who is the best co-author for me?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Find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Students/Junior 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I have skills; what project needs me?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Sponsor a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Partners &amp; Donors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I have money; where can I invest it to make the biggest impact?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80" w:before="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8hh8usqmzjs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2. The Faculty Path: The Collaboration Compatibility Score (CCS)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is 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core innovation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because it directly uses Professor Fei's expert opinion to provide a personalized recommendation.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goycwflpi9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What is the CCS?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CCS is a single number (out of 100) that tells a faculty member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how strong a partnership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would be with another person.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To move beyond just sharing a department to pairing people who have the right mix of topic focus AND skill sets.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The Matchmaker's Formula: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We use Professor Fei's criteria to build the formula, giving the most importance (weight) to what she said matters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500"/>
        <w:gridCol w:w="2670"/>
        <w:gridCol w:w="3510"/>
        <w:tblGridChange w:id="0">
          <w:tblGrid>
            <w:gridCol w:w="1305"/>
            <w:gridCol w:w="1500"/>
            <w:gridCol w:w="2670"/>
            <w:gridCol w:w="35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The Professor Said...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How the AI Calculates It (The 'Grounded' 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Topic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45% (Highest)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"Research interest is the first priority."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The system uses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FAISS Vector Database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(a high-tech, digital library) to find researchers whose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keywords and concepts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are almost identical to yours.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Method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40% (Very 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"I look for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complementary skill set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(e.g., if I do theory, they do data)."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The AI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rewards dissimilarity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. If you use 'Archival' data and your partner uses 'Survey' methods, the score gets a perfect 100 on this part, creating a strong interdisciplinary team.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Career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"Career stage matters (Post-Tenure, Doctoral)."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The AI looks for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strategic fits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, like pairing a seasoned Post-Tenure mentor with a rising Doctoral student.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before="28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4xdh3thp8c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Two Must-Have Features for Faculty: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hd w:fill="ffffff" w:val="clear"/>
        <w:spacing w:after="40" w:before="24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if3sdkxo9ddl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A. Proactive Search Results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Instead of a basic list, the faculty member immediately sees the recommended partner at the top: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The Result: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Dr. Garlappi, Lorenzo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94/100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The Action: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This high score tells the faculty member: "Stop searching! This person is your best possible collaborator based on your professional needs."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40" w:before="24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crzluusxy68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B. The Transparent AI Breakdown (The Trust Builder)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This is the proof slide. When the faculty member clicks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"Why this score?" CTA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, a modal pops up showing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reason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for the high score: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030"/>
        <w:gridCol w:w="4305"/>
        <w:tblGridChange w:id="0">
          <w:tblGrid>
            <w:gridCol w:w="1695"/>
            <w:gridCol w:w="3030"/>
            <w:gridCol w:w="43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Visual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Data Point (The 94/100 Breakdown)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Why It Builds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Topic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95/100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"We agree on the topic (Behavioral Accounting)."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Method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100/100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"We have perfect complementary skills (Archival + Survey)."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Career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90/100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"This is a beneficial mentorship match."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4403360" cy="29384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3360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hd w:fill="ffffff" w:val="clear"/>
        <w:spacing w:after="80" w:lineRule="auto"/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</w:rPr>
      </w:pPr>
      <w:bookmarkStart w:colFirst="0" w:colLast="0" w:name="_7pzz0l6y7soj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  <w:rtl w:val="0"/>
        </w:rPr>
        <w:t xml:space="preserve">3. The Vision: Network Graph Integration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The Network Graph is how we zoom out and show university leadership the bigger picture.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What it is: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It's a map where every researcher is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dot (node)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and the lines connecting them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collaborations (edges)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330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How the CCS helps: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The Compatibility Score determines how thick and bright those connecting lines are.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Thick, Bright Line: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CCS is high (94/100). This is a strong, viable team opportunity.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Thin, Dotted Line: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CCS is low.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Leadership can look at the map and instantly see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brightest, thickest lines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and know exactly where to invest strategic funding to create powerful interdisciplinary centers.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hd w:fill="ffffff" w:val="clear"/>
        <w:spacing w:after="80" w:lineRule="auto"/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</w:rPr>
      </w:pPr>
      <w:bookmarkStart w:colFirst="0" w:colLast="0" w:name="_vy4zge3nhvq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  <w:rtl w:val="0"/>
        </w:rPr>
        <w:t xml:space="preserve">4. The Student and Donor Paths (Other Components)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These are simpler flows that use different scores: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205"/>
        <w:gridCol w:w="5100"/>
        <w:tblGridChange w:id="0">
          <w:tblGrid>
            <w:gridCol w:w="1710"/>
            <w:gridCol w:w="2205"/>
            <w:gridCol w:w="5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What They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Research Opportunity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Projects ranked by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Opportunity Match Score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(based on skills and SDG interest), showing them exactly where to apply.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Partners &amp; Donors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Funding Needs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An interactive chart showing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SDGs with low research coverage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(gaps). This tells donors: "Your money is most needed here for maximum impact."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920"/>
        <w:gridCol w:w="2565"/>
        <w:gridCol w:w="2490"/>
        <w:tblGridChange w:id="0">
          <w:tblGrid>
            <w:gridCol w:w="2010"/>
            <w:gridCol w:w="1920"/>
            <w:gridCol w:w="2565"/>
            <w:gridCol w:w="24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CTA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Purpose (What it does)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Strategic Value for Competition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1. Find a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Faculty / Researchers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Directs the user to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CCS Ranking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feature, where the system proactively suggests partners based on Topic, Method, and Career Stage.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The Core Innovation (Pillar 2).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Solves the high-stakes problem of finding the right partner.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2. Find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Students / Junior 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Directs the user to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Research Opportunity Board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, which lists existing projects ranked by the Opportunity Match Score.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The Recruitment Tool.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Solves the student's problem of finding a relevant project.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3. Sponsor a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Partners &amp; Donors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Directs the user to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Funding Needs Board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, which highlights specific research gaps and priority projects that require funding.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480" w:lineRule="auto"/>
              <w:rPr>
                <w:i w:val="1"/>
                <w:i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The Revenue Tool.</w:t>
            </w:r>
            <w:r w:rsidDel="00000000" w:rsidR="00000000" w:rsidRPr="00000000">
              <w:rPr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 Solves the university's problem of securing strategic funding (addressed in Section 4.B of your plan).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