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Enterprise Deployment Guide (Expanded)</w:t>
      </w:r>
    </w:p>
    <w:p>
      <w:r>
        <w:t>Document Version: 1.1</w:t>
      </w:r>
    </w:p>
    <w:p>
      <w:r>
        <w:t>Status: Enterprise Operational Reference</w:t>
      </w:r>
    </w:p>
    <w:p>
      <w:r>
        <w:t>Owner: Platform Architecture &amp; Operations</w:t>
      </w:r>
    </w:p>
    <w:p>
      <w:r>
        <w:t>Last Updated: YYYY-MM-DD</w:t>
      </w:r>
    </w:p>
    <w:p/>
    <w:p>
      <w:pPr>
        <w:pStyle w:val="Heading2"/>
      </w:pPr>
      <w:r>
        <w:t>Purpose &amp; Audience</w:t>
      </w:r>
    </w:p>
    <w:p>
      <w:r>
        <w:t>This guide enables enterprise IT teams to deploy Memoir.ai safely and consistently across managed environments.</w:t>
      </w:r>
    </w:p>
    <w:p>
      <w:r>
        <w:t>The intended audience includes infrastructure administrators, endpoint management teams, and deployment engineers.</w:t>
      </w:r>
    </w:p>
    <w:p>
      <w:pPr>
        <w:pStyle w:val="Heading2"/>
      </w:pPr>
      <w:r>
        <w:t>Deployment Models</w:t>
      </w:r>
    </w:p>
    <w:p>
      <w:r>
        <w:t>Supported models include managed workstation deployment, controlled lab environments, and secure research or compliance workstations.</w:t>
      </w:r>
    </w:p>
    <w:p>
      <w:r>
        <w:t>Deployments may occur via MDM tooling, software distribution systems, or controlled installation workflows.</w:t>
      </w:r>
    </w:p>
    <w:p>
      <w:pPr>
        <w:pStyle w:val="Heading2"/>
      </w:pPr>
      <w:r>
        <w:t>Infrastructure Preparation</w:t>
      </w:r>
    </w:p>
    <w:p>
      <w:r>
        <w:t>Confirm endpoint storage capacity and encryption compliance.</w:t>
      </w:r>
    </w:p>
    <w:p>
      <w:r>
        <w:t>Ensure endpoint OS patch levels meet organizational standards.</w:t>
      </w:r>
    </w:p>
    <w:p>
      <w:r>
        <w:t>Validate secure storage paths for vault data.</w:t>
      </w:r>
    </w:p>
    <w:p>
      <w:pPr>
        <w:pStyle w:val="Heading2"/>
      </w:pPr>
      <w:r>
        <w:t>Installation Procedures</w:t>
      </w:r>
    </w:p>
    <w:p>
      <w:r>
        <w:t>Distribute installer via enterprise deployment tooling.</w:t>
      </w:r>
    </w:p>
    <w:p>
      <w:r>
        <w:t>Verify application installation integrity using checksums.</w:t>
      </w:r>
    </w:p>
    <w:p>
      <w:r>
        <w:t>Confirm application launch and vault initialization success.</w:t>
      </w:r>
    </w:p>
    <w:p>
      <w:pPr>
        <w:pStyle w:val="Heading2"/>
      </w:pPr>
      <w:r>
        <w:t>Vault Storage Governance</w:t>
      </w:r>
    </w:p>
    <w:p>
      <w:r>
        <w:t>Define approved vault storage directories.</w:t>
      </w:r>
    </w:p>
    <w:p>
      <w:r>
        <w:t>Prevent vault storage on unsecured removable drives.</w:t>
      </w:r>
    </w:p>
    <w:p>
      <w:r>
        <w:t>Enforce enterprise backup and encryption requirements.</w:t>
      </w:r>
    </w:p>
    <w:p>
      <w:pPr>
        <w:pStyle w:val="Heading2"/>
      </w:pPr>
      <w:r>
        <w:t>Deployment Validation Steps</w:t>
      </w:r>
    </w:p>
    <w:p>
      <w:r>
        <w:t>Verify vault creation and unlock flows.</w:t>
      </w:r>
    </w:p>
    <w:p>
      <w:r>
        <w:t>Confirm ingestion workflows execute successfully.</w:t>
      </w:r>
    </w:p>
    <w:p>
      <w:r>
        <w:t>Confirm entitlement checks succeed.</w:t>
      </w:r>
    </w:p>
    <w:p>
      <w:pPr>
        <w:pStyle w:val="Heading2"/>
      </w:pPr>
      <w:r>
        <w:t>Operational Risks &amp; Mitigation</w:t>
      </w:r>
    </w:p>
    <w:p>
      <w:r>
        <w:t>Incorrect storage policies may expose data risk; enforce endpoint policies.</w:t>
      </w:r>
    </w:p>
    <w:p>
      <w:r>
        <w:t>Import failures must be mitigated via resumable ingestion and worker monitoring.</w:t>
      </w:r>
    </w:p>
    <w:p>
      <w:pPr>
        <w:pStyle w:val="Heading2"/>
      </w:pPr>
      <w:r>
        <w:t>Maintenance &amp; Lifecycle</w:t>
      </w:r>
    </w:p>
    <w:p>
      <w:r>
        <w:t>Plan quarterly validation of deployment compliance.</w:t>
      </w:r>
    </w:p>
    <w:p>
      <w:r>
        <w:t>Maintain installer version control and rollback capability.</w:t>
      </w:r>
    </w:p>
    <w:p>
      <w:pPr>
        <w:pStyle w:val="Heading2"/>
      </w:pPr>
      <w:r>
        <w:t>Revision History</w:t>
      </w:r>
    </w:p>
    <w:p>
      <w:r>
        <w:t>Version 1.1 expands deployment procedures and operational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