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Enterprise Security Review Packet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Provide enterprise security teams with platform safeguards overview.</w:t>
      </w:r>
    </w:p>
    <w:p>
      <w:pPr>
        <w:pStyle w:val="Heading2"/>
      </w:pPr>
      <w:r>
        <w:t>Encryption Model</w:t>
      </w:r>
    </w:p>
    <w:p>
      <w:r>
        <w:t>Vault storage protected using AES-256 encryption.</w:t>
      </w:r>
    </w:p>
    <w:p>
      <w:pPr>
        <w:pStyle w:val="Heading2"/>
      </w:pPr>
      <w:r>
        <w:t>Access Controls</w:t>
      </w:r>
    </w:p>
    <w:p>
      <w:r>
        <w:t>Vault unlock controls and device permissions.</w:t>
      </w:r>
    </w:p>
    <w:p>
      <w:pPr>
        <w:pStyle w:val="Heading2"/>
      </w:pPr>
      <w:r>
        <w:t>Threat Model Summary</w:t>
      </w:r>
    </w:p>
    <w:p>
      <w:r>
        <w:t>Local compromise, archive ingestion risks, and mitigation.</w:t>
      </w:r>
    </w:p>
    <w:p>
      <w:pPr>
        <w:pStyle w:val="Heading2"/>
      </w:pPr>
      <w:r>
        <w:t>Audit Logging</w:t>
      </w:r>
    </w:p>
    <w:p>
      <w:r>
        <w:t>Operational events logged without private content.</w:t>
      </w:r>
    </w:p>
    <w:p>
      <w:pPr>
        <w:pStyle w:val="Heading2"/>
      </w:pPr>
      <w:r>
        <w:t>Compliance Alignment</w:t>
      </w:r>
    </w:p>
    <w:p>
      <w:r>
        <w:t>Supports privacy regulations via local data ownership.</w:t>
      </w:r>
    </w:p>
    <w:p>
      <w:pPr>
        <w:pStyle w:val="Heading2"/>
      </w:pPr>
      <w:r>
        <w:t>Revision History</w:t>
      </w:r>
    </w:p>
    <w:p>
      <w:r>
        <w:t>Initial security review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