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Memoir.ai — Enterprise Security Review Packet (Expanded)</w:t>
      </w:r>
    </w:p>
    <w:p>
      <w:r>
        <w:t>Document Version: 1.1</w:t>
      </w:r>
    </w:p>
    <w:p>
      <w:r>
        <w:t>Status: Enterprise Operational Reference</w:t>
      </w:r>
    </w:p>
    <w:p>
      <w:r>
        <w:t>Owner: Platform Architecture &amp; Operations</w:t>
      </w:r>
    </w:p>
    <w:p>
      <w:r>
        <w:t>Last Updated: YYYY-MM-DD</w:t>
      </w:r>
    </w:p>
    <w:p/>
    <w:p>
      <w:pPr>
        <w:pStyle w:val="Heading2"/>
      </w:pPr>
      <w:r>
        <w:t>Security Overview</w:t>
      </w:r>
    </w:p>
    <w:p>
      <w:r>
        <w:t>Provides architecture safeguards for enterprise review.</w:t>
      </w:r>
    </w:p>
    <w:p>
      <w:pPr>
        <w:pStyle w:val="Heading2"/>
      </w:pPr>
      <w:r>
        <w:t>Encryption Model</w:t>
      </w:r>
    </w:p>
    <w:p>
      <w:r>
        <w:t>Vault storage encrypted via AES-256 and keys stored only in memory.</w:t>
      </w:r>
    </w:p>
    <w:p>
      <w:pPr>
        <w:pStyle w:val="Heading2"/>
      </w:pPr>
      <w:r>
        <w:t>Threat Model</w:t>
      </w:r>
    </w:p>
    <w:p>
      <w:r>
        <w:t>Addresses ingestion corruption, endpoint compromise, and unauthorized access risks.</w:t>
      </w:r>
    </w:p>
    <w:p>
      <w:pPr>
        <w:pStyle w:val="Heading2"/>
      </w:pPr>
      <w:r>
        <w:t>Audit Logging</w:t>
      </w:r>
    </w:p>
    <w:p>
      <w:r>
        <w:t>Operational events logged without exposing user data.</w:t>
      </w:r>
    </w:p>
    <w:p>
      <w:pPr>
        <w:pStyle w:val="Heading2"/>
      </w:pPr>
      <w:r>
        <w:t>Revision History</w:t>
      </w:r>
    </w:p>
    <w:p>
      <w:r>
        <w:t>Expanded threat and mitigation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