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Monitoring &amp; Incident Response Guide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Monitoring Scope</w:t>
      </w:r>
    </w:p>
    <w:p>
      <w:r>
        <w:t>Monitoring covers ingestion pipelines, worker health, vault integrity, and system performance.</w:t>
      </w:r>
    </w:p>
    <w:p>
      <w:pPr>
        <w:pStyle w:val="Heading2"/>
      </w:pPr>
      <w:r>
        <w:t>Incident Detection</w:t>
      </w:r>
    </w:p>
    <w:p>
      <w:r>
        <w:t>Automated alerts must trigger for ingestion failures and worker crashes.</w:t>
      </w:r>
    </w:p>
    <w:p>
      <w:pPr>
        <w:pStyle w:val="Heading2"/>
      </w:pPr>
      <w:r>
        <w:t>Incident Workflow</w:t>
      </w:r>
    </w:p>
    <w:p>
      <w:r>
        <w:t>Identify incident severity.</w:t>
      </w:r>
    </w:p>
    <w:p>
      <w:r>
        <w:t>Isolate affected systems.</w:t>
      </w:r>
    </w:p>
    <w:p>
      <w:r>
        <w:t>Restore ingestion pipelines or vault operations.</w:t>
      </w:r>
    </w:p>
    <w:p>
      <w:pPr>
        <w:pStyle w:val="Heading2"/>
      </w:pPr>
      <w:r>
        <w:t>Recovery Procedures</w:t>
      </w:r>
    </w:p>
    <w:p>
      <w:r>
        <w:t>Restart worker pipelines and validate ingestion checkpoint restoration.</w:t>
      </w:r>
    </w:p>
    <w:p>
      <w:pPr>
        <w:pStyle w:val="Heading2"/>
      </w:pPr>
      <w:r>
        <w:t>Post-Incident Review</w:t>
      </w:r>
    </w:p>
    <w:p>
      <w:r>
        <w:t>Document incident root cause and preventive measures.</w:t>
      </w:r>
    </w:p>
    <w:p>
      <w:pPr>
        <w:pStyle w:val="Heading2"/>
      </w:pPr>
      <w:r>
        <w:t>Revision History</w:t>
      </w:r>
    </w:p>
    <w:p>
      <w:r>
        <w:t>Expanded operational incident response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