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Partner / Integration Guide</w:t>
      </w:r>
    </w:p>
    <w:p>
      <w:r>
        <w:t>Version: 1.0</w:t>
      </w:r>
    </w:p>
    <w:p>
      <w:r>
        <w:t>Status: Product &amp; Market Documentation</w:t>
      </w:r>
    </w:p>
    <w:p>
      <w:r>
        <w:t>Last Updated: YYYY-MM-DD</w:t>
      </w:r>
    </w:p>
    <w:p/>
    <w:p>
      <w:pPr>
        <w:pStyle w:val="Heading2"/>
      </w:pPr>
      <w:r>
        <w:t>API Integration Overview</w:t>
      </w:r>
    </w:p>
    <w:p>
      <w:r>
        <w:t>Partners interact via local and sync APIs.</w:t>
      </w:r>
    </w:p>
    <w:p>
      <w:pPr>
        <w:pStyle w:val="Heading2"/>
      </w:pPr>
      <w:r>
        <w:t>Authentication Flow</w:t>
      </w:r>
    </w:p>
    <w:p>
      <w:r>
        <w:t>Vault unlock required for sensitive operations.</w:t>
      </w:r>
    </w:p>
    <w:p>
      <w:pPr>
        <w:pStyle w:val="Heading2"/>
      </w:pPr>
      <w:r>
        <w:t>Integration Workflows</w:t>
      </w:r>
    </w:p>
    <w:p>
      <w:r>
        <w:t>Import, snapshot generation, and export operations.</w:t>
      </w:r>
    </w:p>
    <w:p>
      <w:pPr>
        <w:pStyle w:val="Heading2"/>
      </w:pPr>
      <w:r>
        <w:t>Webhook Usage</w:t>
      </w:r>
    </w:p>
    <w:p>
      <w:r>
        <w:t>Billing and sync event integration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