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Release Management Handbook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Release Lifecycle</w:t>
      </w:r>
    </w:p>
    <w:p>
      <w:r>
        <w:t>All releases progress through development, staging, and production validation.</w:t>
      </w:r>
    </w:p>
    <w:p>
      <w:pPr>
        <w:pStyle w:val="Heading2"/>
      </w:pPr>
      <w:r>
        <w:t>Release Gates</w:t>
      </w:r>
    </w:p>
    <w:p>
      <w:r>
        <w:t>Require QA validation, ingestion success, and performance verification.</w:t>
      </w:r>
    </w:p>
    <w:p>
      <w:pPr>
        <w:pStyle w:val="Heading2"/>
      </w:pPr>
      <w:r>
        <w:t>Rollback Procedures</w:t>
      </w:r>
    </w:p>
    <w:p>
      <w:r>
        <w:t>Maintain downgrade packages and schema compatibility checks.</w:t>
      </w:r>
    </w:p>
    <w:p>
      <w:pPr>
        <w:pStyle w:val="Heading2"/>
      </w:pPr>
      <w:r>
        <w:t>Post-Release Monitoring</w:t>
      </w:r>
    </w:p>
    <w:p>
      <w:r>
        <w:t>Monitor ingestion stability and worker health.</w:t>
      </w:r>
    </w:p>
    <w:p>
      <w:pPr>
        <w:pStyle w:val="Heading2"/>
      </w:pPr>
      <w:r>
        <w:t>Revision History</w:t>
      </w:r>
    </w:p>
    <w:p>
      <w:r>
        <w:t>Expanded release governance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