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Unified Product &amp; Technical Master Specification</w:t>
      </w:r>
    </w:p>
    <w:p>
      <w:r>
        <w:t>Version: 1.0</w:t>
      </w:r>
    </w:p>
    <w:p>
      <w:r>
        <w:t>Status: Product &amp; Market Documentation</w:t>
      </w:r>
    </w:p>
    <w:p>
      <w:r>
        <w:t>Last Updated: YYYY-MM-DD</w:t>
      </w:r>
    </w:p>
    <w:p/>
    <w:p>
      <w:pPr>
        <w:pStyle w:val="Heading2"/>
      </w:pPr>
      <w:r>
        <w:t>Product Overview</w:t>
      </w:r>
    </w:p>
    <w:p>
      <w:r>
        <w:t>Defines Memoir.ai core capabilities and goals.</w:t>
      </w:r>
    </w:p>
    <w:p>
      <w:pPr>
        <w:pStyle w:val="Heading2"/>
      </w:pPr>
      <w:r>
        <w:t>Architecture Overview</w:t>
      </w:r>
    </w:p>
    <w:p>
      <w:r>
        <w:t>Describes system structure and execution flows.</w:t>
      </w:r>
    </w:p>
    <w:p>
      <w:pPr>
        <w:pStyle w:val="Heading2"/>
      </w:pPr>
      <w:r>
        <w:t>Data Model Summary</w:t>
      </w:r>
    </w:p>
    <w:p>
      <w:r>
        <w:t>Canonical entities supporting ingestion and narratives.</w:t>
      </w:r>
    </w:p>
    <w:p>
      <w:pPr>
        <w:pStyle w:val="Heading2"/>
      </w:pPr>
      <w:r>
        <w:t>Security Model</w:t>
      </w:r>
    </w:p>
    <w:p>
      <w:r>
        <w:t>Vault encryption and privacy guarantees.</w:t>
      </w:r>
    </w:p>
    <w:p>
      <w:pPr>
        <w:pStyle w:val="Heading2"/>
      </w:pPr>
      <w:r>
        <w:t>Operational Flows</w:t>
      </w:r>
    </w:p>
    <w:p>
      <w:r>
        <w:t>Ingestion, snapshot generation, and export workflows.</w:t>
      </w:r>
    </w:p>
    <w:p>
      <w:pPr>
        <w:pStyle w:val="Heading2"/>
      </w:pPr>
      <w:r>
        <w:t>Compliance Alignment</w:t>
      </w:r>
    </w:p>
    <w:p>
      <w:r>
        <w:t>Supports user-controlled data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