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Compliance &amp; Regulatory Summary Guide (Expanded)</w:t>
      </w:r>
    </w:p>
    <w:p>
      <w:r>
        <w:t>Document Version: 1.1</w:t>
      </w:r>
    </w:p>
    <w:p>
      <w:r>
        <w:t>Status: Enterprise Operational Reference</w:t>
      </w:r>
    </w:p>
    <w:p>
      <w:r>
        <w:t>Owner: Platform Architecture &amp; Operations</w:t>
      </w:r>
    </w:p>
    <w:p>
      <w:r>
        <w:t>Last Updated: YYYY-MM-DD</w:t>
      </w:r>
    </w:p>
    <w:p/>
    <w:p>
      <w:pPr>
        <w:pStyle w:val="Heading2"/>
      </w:pPr>
      <w:r>
        <w:t>Regulatory Scope</w:t>
      </w:r>
    </w:p>
    <w:p>
      <w:r>
        <w:t>Summarizes alignment with privacy and data portability regulations.</w:t>
      </w:r>
    </w:p>
    <w:p>
      <w:pPr>
        <w:pStyle w:val="Heading2"/>
      </w:pPr>
      <w:r>
        <w:t>Data Ownership</w:t>
      </w:r>
    </w:p>
    <w:p>
      <w:r>
        <w:t>Users retain full control of vault data and export capabilities.</w:t>
      </w:r>
    </w:p>
    <w:p>
      <w:pPr>
        <w:pStyle w:val="Heading2"/>
      </w:pPr>
      <w:r>
        <w:t>Deletion Support</w:t>
      </w:r>
    </w:p>
    <w:p>
      <w:r>
        <w:t>Supports vault deletion and data export for compliance needs.</w:t>
      </w:r>
    </w:p>
    <w:p>
      <w:pPr>
        <w:pStyle w:val="Heading2"/>
      </w:pPr>
      <w:r>
        <w:t>Portability Guarantees</w:t>
      </w:r>
    </w:p>
    <w:p>
      <w:r>
        <w:t>Data export uses open formats ensuring portability.</w:t>
      </w:r>
    </w:p>
    <w:p>
      <w:pPr>
        <w:pStyle w:val="Heading2"/>
      </w:pPr>
      <w:r>
        <w:t>Revision History</w:t>
      </w:r>
    </w:p>
    <w:p>
      <w:r>
        <w:t>Expanded compliance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