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QA &amp; Test Strategy Manual (Expanded)</w:t>
      </w:r>
    </w:p>
    <w:p>
      <w:r>
        <w:t>Document Version: 1.1</w:t>
      </w:r>
    </w:p>
    <w:p>
      <w:r>
        <w:t>Status: Enterprise Operational Reference</w:t>
      </w:r>
    </w:p>
    <w:p>
      <w:r>
        <w:t>Owner: Platform Architecture &amp; Operations</w:t>
      </w:r>
    </w:p>
    <w:p>
      <w:r>
        <w:t>Last Updated: YYYY-MM-DD</w:t>
      </w:r>
    </w:p>
    <w:p/>
    <w:p>
      <w:pPr>
        <w:pStyle w:val="Heading2"/>
      </w:pPr>
      <w:r>
        <w:t>Testing Objectives</w:t>
      </w:r>
    </w:p>
    <w:p>
      <w:r>
        <w:t>Ensure ingestion correctness, search performance, and narrative generation stability.</w:t>
      </w:r>
    </w:p>
    <w:p>
      <w:pPr>
        <w:pStyle w:val="Heading2"/>
      </w:pPr>
      <w:r>
        <w:t>Test Layers</w:t>
      </w:r>
    </w:p>
    <w:p>
      <w:r>
        <w:t>Unit tests validate schema transformations.</w:t>
      </w:r>
    </w:p>
    <w:p>
      <w:r>
        <w:t>Integration tests validate ingestion pipelines.</w:t>
      </w:r>
    </w:p>
    <w:p>
      <w:r>
        <w:t>End-to-end tests validate user flows.</w:t>
      </w:r>
    </w:p>
    <w:p>
      <w:pPr>
        <w:pStyle w:val="Heading2"/>
      </w:pPr>
      <w:r>
        <w:t>Performance Testing</w:t>
      </w:r>
    </w:p>
    <w:p>
      <w:r>
        <w:t>Measure ingestion throughput and search latency under load.</w:t>
      </w:r>
    </w:p>
    <w:p>
      <w:pPr>
        <w:pStyle w:val="Heading2"/>
      </w:pPr>
      <w:r>
        <w:t>Acceptance Criteria</w:t>
      </w:r>
    </w:p>
    <w:p>
      <w:r>
        <w:t>All ingestion tasks must complete without data loss.</w:t>
      </w:r>
    </w:p>
    <w:p>
      <w:pPr>
        <w:pStyle w:val="Heading2"/>
      </w:pPr>
      <w:r>
        <w:t>Revision History</w:t>
      </w:r>
    </w:p>
    <w:p>
      <w:r>
        <w:t>Expanded testing strategy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