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Release Management Handbook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Standardize release lifecycle management.</w:t>
      </w:r>
    </w:p>
    <w:p>
      <w:pPr>
        <w:pStyle w:val="Heading2"/>
      </w:pPr>
      <w:r>
        <w:t>Release Lifecycle</w:t>
      </w:r>
    </w:p>
    <w:p>
      <w:r>
        <w:t>Development, validation, staging, and production deployment.</w:t>
      </w:r>
    </w:p>
    <w:p>
      <w:pPr>
        <w:pStyle w:val="Heading2"/>
      </w:pPr>
      <w:r>
        <w:t>Release Gates</w:t>
      </w:r>
    </w:p>
    <w:p>
      <w:r>
        <w:t>Require test pass, performance checks, and security review.</w:t>
      </w:r>
    </w:p>
    <w:p>
      <w:pPr>
        <w:pStyle w:val="Heading2"/>
      </w:pPr>
      <w:r>
        <w:t>Rollback Procedures</w:t>
      </w:r>
    </w:p>
    <w:p>
      <w:r>
        <w:t>Define downgrade steps and compatibility checks.</w:t>
      </w:r>
    </w:p>
    <w:p>
      <w:pPr>
        <w:pStyle w:val="Heading2"/>
      </w:pPr>
      <w:r>
        <w:t>Versioning Strategy</w:t>
      </w:r>
    </w:p>
    <w:p>
      <w:r>
        <w:t>Maintain semantic versioning and migration compatibility.</w:t>
      </w:r>
    </w:p>
    <w:p>
      <w:pPr>
        <w:pStyle w:val="Heading2"/>
      </w:pPr>
      <w:r>
        <w:t>Post-Release Monitoring</w:t>
      </w:r>
    </w:p>
    <w:p>
      <w:r>
        <w:t>Validate stability after deployment.</w:t>
      </w:r>
    </w:p>
    <w:p>
      <w:pPr>
        <w:pStyle w:val="Heading2"/>
      </w:pPr>
      <w:r>
        <w:t>Revision History</w:t>
      </w:r>
    </w:p>
    <w:p>
      <w:r>
        <w:t>Initial release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