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0F3546"/>
          <w:sz w:val="34"/>
          <w:szCs w:val="34"/>
        </w:rPr>
        <w:t xml:space="preserve">ВОДНА ОЦЕНКА НА ИМОТА</w:t>
      </w:r>
    </w:p>
    <w:p>
      <w:pPr>
        <w:pBdr>
          <w:bottom w:val="single" w:color="1C7293" w:sz="6"/>
        </w:pBdr>
        <w:spacing w:after="180"/>
      </w:pPr>
      <w:r>
        <w:rPr>
          <w:rFonts w:ascii="Calibri" w:cs="Calibri" w:eastAsia="Calibri" w:hAnsi="Calibri"/>
          <w:color w:val="6B7D85"/>
          <w:sz w:val="21"/>
          <w:szCs w:val="21"/>
        </w:rPr>
        <w:t xml:space="preserve">Go-to-Market стратегия  ·  Q4 2026  ·  България  ·  Поверително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1. Проблемът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Купувачите на селски имоти питат за вода на всеки оглед. Брокерът не може да отговори структурирано — 818 активни обяви в най-големия портфейл у нас нямат нито едно структурирано поле за вода. Сделките се забавят или се разпадат в последния момент.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2. Идеален клиент (ICP)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Фирмография: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агенции с активен портфейл от селски / планински имоти; 3–30 брокера; Софийска, Самоков/Боровец, Ботевград/Правец зона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Купувач: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Управител (малки агенции) или Регионален директор (вериги — Явлена, Адрес, Имотека)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Готов сега сигнал: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наскоро изгубена сделка заради вода; ИЛИ агенцията разширява селски портфейл и търси диференциация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3. Позициониране</w:t>
      </w:r>
    </w:p>
    <w:p>
      <w:pPr>
        <w:pBdr>
          <w:left w:val="single" w:color="1C7293" w:sz="14"/>
        </w:pBdr>
        <w:spacing w:after="100"/>
        <w:ind w:left="220"/>
      </w:pPr>
      <w:r>
        <w:rPr>
          <w:rFonts w:ascii="Calibri" w:cs="Calibri" w:eastAsia="Calibri" w:hAnsi="Calibri"/>
          <w:color w:val="0F3546"/>
          <w:sz w:val="22"/>
          <w:szCs w:val="22"/>
        </w:rPr>
        <w:t xml:space="preserve">За агенции, чиито купувачи питат за вода на всеки оглед — Водна оценка класифицира водния потенциал по скала A–D с публичен код за проверка, за разлика от геофизик на поръчка, защото всеки резултат (включително D-клас) е в публичен регистър, достъпен от всеки купувач независимо.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4. Ключови послания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Болка: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купувачът пита, брокерът не знае →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Водна оценка клас A–D преди огледа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  → 818 обяви без отговор; вашите ще имат структуриран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Болка: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сделка се разпада заради вода →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Проверка преди капаро за €390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  → плаща купувачът; вие не рискувате комисионата си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5. Цени</w:t>
      </w: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3511"/>
        <w:gridCol w:w="2909"/>
        <w:gridCol w:w="2511"/>
      </w:tblGrid>
      <w:tr>
        <w:trPr>
          <w:tblHeader/>
        </w:trPr>
        <w:tc>
          <w:tcPr>
            <w:tcW w:type="dxa" w:w="11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Пакет</w:t>
            </w:r>
          </w:p>
        </w:tc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Покритие / месец</w:t>
            </w:r>
          </w:p>
        </w:tc>
        <w:tc>
          <w:tcPr>
            <w:tcW w:type="dxa" w:w="2909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Цена / месец</w:t>
            </w:r>
          </w:p>
        </w:tc>
        <w:tc>
          <w:tcPr>
            <w:tcW w:type="dxa" w:w="2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На обект</w:t>
            </w:r>
          </w:p>
        </w:tc>
      </w:tr>
      <w:tr>
        <w:tc>
          <w:tcPr>
            <w:tcW w:type="dxa" w:w="11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S</w:t>
            </w:r>
          </w:p>
        </w:tc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до 5 обекта</w:t>
            </w:r>
          </w:p>
        </w:tc>
        <w:tc>
          <w:tcPr>
            <w:tcW w:type="dxa" w:w="2909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€950</w:t>
            </w:r>
          </w:p>
        </w:tc>
        <w:tc>
          <w:tcPr>
            <w:tcW w:type="dxa" w:w="2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€190</w:t>
            </w:r>
          </w:p>
        </w:tc>
      </w:tr>
      <w:tr>
        <w:tc>
          <w:tcPr>
            <w:tcW w:type="dxa" w:w="11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7293"/>
                <w:sz w:val="20"/>
                <w:szCs w:val="20"/>
              </w:rPr>
              <w:t xml:space="preserve">M ★</w:t>
            </w:r>
          </w:p>
        </w:tc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до 12 обекта</w:t>
            </w:r>
          </w:p>
        </w:tc>
        <w:tc>
          <w:tcPr>
            <w:tcW w:type="dxa" w:w="2909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€2 040</w:t>
            </w:r>
          </w:p>
        </w:tc>
        <w:tc>
          <w:tcPr>
            <w:tcW w:type="dxa" w:w="2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€170</w:t>
            </w:r>
          </w:p>
        </w:tc>
      </w:tr>
      <w:tr>
        <w:tc>
          <w:tcPr>
            <w:tcW w:type="dxa" w:w="11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L</w:t>
            </w:r>
          </w:p>
        </w:tc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до 25 обекта</w:t>
            </w:r>
          </w:p>
        </w:tc>
        <w:tc>
          <w:tcPr>
            <w:tcW w:type="dxa" w:w="2909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€3 750</w:t>
            </w:r>
          </w:p>
        </w:tc>
        <w:tc>
          <w:tcPr>
            <w:tcW w:type="dxa" w:w="2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€150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Продукт 2 (плаща продавачът): €290 / имот — €30 реферал за агенцията  |  Продукт 3 (плаща купувачът): €390 / имот — €40 реферал за агенцията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Пилот: 10 обекта безплатно + 2 месеца мониторинг. Ако няма измерима разлика в запитванията — не дължите нищо.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6. Канали  (бюджет: €0)</w:t>
      </w: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7"/>
        <w:gridCol w:w="4515"/>
        <w:gridCol w:w="3312"/>
      </w:tblGrid>
      <w:tr>
        <w:trPr>
          <w:tblHeader/>
        </w:trPr>
        <w:tc>
          <w:tcPr>
            <w:tcW w:type="dxa" w:w="2207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4515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Конкретна тактика</w:t>
            </w:r>
          </w:p>
        </w:tc>
        <w:tc>
          <w:tcPr>
            <w:tcW w:type="dxa" w:w="33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Цел / 90 дни</w:t>
            </w:r>
          </w:p>
        </w:tc>
      </w:tr>
      <w:tr>
        <w:tc>
          <w:tcPr>
            <w:tcW w:type="dxa" w:w="2207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▶  Директен outreach</w:t>
            </w:r>
          </w:p>
        </w:tc>
        <w:tc>
          <w:tcPr>
            <w:tcW w:type="dxa" w:w="4515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LinkedIn: управител агенция + гео-филтър. 10–15 съобщения / седмица. Послание: пилот с 10 безплатни оценки.</w:t>
            </w:r>
          </w:p>
        </w:tc>
        <w:tc>
          <w:tcPr>
            <w:tcW w:type="dxa" w:w="33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150 контакта → 15 отговора → 5 разговора</w:t>
            </w:r>
          </w:p>
        </w:tc>
      </w:tr>
      <w:tr>
        <w:tc>
          <w:tcPr>
            <w:tcW w:type="dxa" w:w="2207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Топли интро</w:t>
            </w:r>
          </w:p>
        </w:tc>
        <w:tc>
          <w:tcPr>
            <w:tcW w:type="dxa" w:w="4515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Картографиране на мрежата: нотариуси, строителни предприемачи, адвокати по имотни сделки — всеки може да представи на 1 управител.</w:t>
            </w:r>
          </w:p>
        </w:tc>
        <w:tc>
          <w:tcPr>
            <w:tcW w:type="dxa" w:w="33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5 интро → 3 пилота</w:t>
            </w:r>
          </w:p>
        </w:tc>
      </w:tr>
      <w:tr>
        <w:tc>
          <w:tcPr>
            <w:tcW w:type="dxa" w:w="2207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LinkedIn съдържание</w:t>
            </w:r>
          </w:p>
        </w:tc>
        <w:tc>
          <w:tcPr>
            <w:tcW w:type="dxa" w:w="4515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1–2 поста / седмица: данни за изгубени сделки заради вода, обяснение на класовете A–D, резултати от пилоти. Без бюджет.</w:t>
            </w:r>
          </w:p>
        </w:tc>
        <w:tc>
          <w:tcPr>
            <w:tcW w:type="dxa" w:w="33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Доверие → по-висока reply rate на студения outreach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ICP habitat: LinkedIn / Facebook Брокери на недвижими имоти България  ·  НСНИ членски директорий  ·  Facebook Управители и брокери недвижими имоти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7. Процес на продажба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Founder-led sales (асистирани от основателя, без екип)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Outreach</w:t>
      </w:r>
      <w:r>
        <w:rPr>
          <w:rFonts w:ascii="Calibri" w:cs="Calibri" w:eastAsia="Calibri" w:hAnsi="Calibri"/>
          <w:b w:val="false"/>
          <w:bCs w:val="false"/>
          <w:color w:val="6B7D85"/>
          <w:sz w:val="22"/>
          <w:szCs w:val="22"/>
        </w:rPr>
        <w:t xml:space="preserve">  →  </w:t>
      </w: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Разговор 15 мин.</w:t>
      </w:r>
      <w:r>
        <w:rPr>
          <w:rFonts w:ascii="Calibri" w:cs="Calibri" w:eastAsia="Calibri" w:hAnsi="Calibri"/>
          <w:b w:val="false"/>
          <w:bCs w:val="false"/>
          <w:color w:val="6B7D85"/>
          <w:sz w:val="22"/>
          <w:szCs w:val="22"/>
        </w:rPr>
        <w:t xml:space="preserve">  →  </w:t>
      </w: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Пилот (10 обекта, безплатно, 3 седм.)</w:t>
      </w:r>
      <w:r>
        <w:rPr>
          <w:rFonts w:ascii="Calibri" w:cs="Calibri" w:eastAsia="Calibri" w:hAnsi="Calibri"/>
          <w:b w:val="false"/>
          <w:bCs w:val="false"/>
          <w:color w:val="6B7D85"/>
          <w:sz w:val="22"/>
          <w:szCs w:val="22"/>
        </w:rPr>
        <w:t xml:space="preserve">  →  </w:t>
      </w: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Данни (2 мес.)</w:t>
      </w:r>
      <w:r>
        <w:rPr>
          <w:rFonts w:ascii="Calibri" w:cs="Calibri" w:eastAsia="Calibri" w:hAnsi="Calibri"/>
          <w:b w:val="false"/>
          <w:bCs w:val="false"/>
          <w:color w:val="6B7D85"/>
          <w:sz w:val="22"/>
          <w:szCs w:val="22"/>
        </w:rPr>
        <w:t xml:space="preserve">  →  </w:t>
      </w: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Абонамент S / M / L</w:t>
      </w:r>
    </w:p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8. Конкурентна среда</w:t>
      </w: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8"/>
        <w:gridCol w:w="3712"/>
        <w:gridCol w:w="3814"/>
      </w:tblGrid>
      <w:tr>
        <w:trPr>
          <w:tblHeader/>
        </w:trPr>
        <w:tc>
          <w:tcPr>
            <w:tcW w:type="dxa" w:w="2508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Алтернатива</w:t>
            </w:r>
          </w:p>
        </w:tc>
        <w:tc>
          <w:tcPr>
            <w:tcW w:type="dxa" w:w="37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Какво предлага</w:t>
            </w:r>
          </w:p>
        </w:tc>
        <w:tc>
          <w:tcPr>
            <w:tcW w:type="dxa" w:w="3814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Наш диференциатор</w:t>
            </w:r>
          </w:p>
        </w:tc>
      </w:tr>
      <w:tr>
        <w:tc>
          <w:tcPr>
            <w:tcW w:type="dxa" w:w="2508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ProDrillers BG</w:t>
            </w:r>
          </w:p>
        </w:tc>
        <w:tc>
          <w:tcPr>
            <w:tcW w:type="dxa" w:w="37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Писмена гаранция — без дефиниран дебит или клас</w:t>
            </w:r>
          </w:p>
        </w:tc>
        <w:tc>
          <w:tcPr>
            <w:tcW w:type="dxa" w:w="3814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Клас с дебит (м³/ч), публичен регистър, D-клас видим</w:t>
            </w:r>
          </w:p>
        </w:tc>
      </w:tr>
      <w:tr>
        <w:tc>
          <w:tcPr>
            <w:tcW w:type="dxa" w:w="2508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Геофизик на поръчка</w:t>
            </w:r>
          </w:p>
        </w:tc>
        <w:tc>
          <w:tcPr>
            <w:tcW w:type="dxa" w:w="37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Еднократно измерване, без стандартен формат</w:t>
            </w:r>
          </w:p>
        </w:tc>
        <w:tc>
          <w:tcPr>
            <w:tcW w:type="dxa" w:w="3814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A–D стандарт, публичен код за проверка</w:t>
            </w:r>
          </w:p>
        </w:tc>
      </w:tr>
      <w:tr>
        <w:tc>
          <w:tcPr>
            <w:tcW w:type="dxa" w:w="2508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Има кладенец в обявата</w:t>
            </w:r>
          </w:p>
        </w:tc>
        <w:tc>
          <w:tcPr>
            <w:tcW w:type="dxa" w:w="37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Непроверено твърдение на продавача</w:t>
            </w:r>
          </w:p>
        </w:tc>
        <w:tc>
          <w:tcPr>
            <w:tcW w:type="dxa" w:w="3814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Независима оценка, кодирана, проверима от купувача</w:t>
            </w:r>
          </w:p>
        </w:tc>
      </w:tr>
      <w:tr>
        <w:tc>
          <w:tcPr>
            <w:tcW w:type="dxa" w:w="2508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Статукво (нищо)</w:t>
            </w:r>
          </w:p>
        </w:tc>
        <w:tc>
          <w:tcPr>
            <w:tcW w:type="dxa" w:w="3712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Купувачът пита на огледа; брокерът не знае; сделката спира</w:t>
            </w:r>
          </w:p>
        </w:tc>
        <w:tc>
          <w:tcPr>
            <w:tcW w:type="dxa" w:w="3814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Брокерът отговаря преди огледа; сделките не спират заради вода</w:t>
            </w:r>
          </w:p>
        </w:tc>
      </w:tr>
    </w:tbl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9. Ключови метрики (седмично)</w:t>
      </w: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1"/>
        <w:gridCol w:w="1003"/>
        <w:gridCol w:w="5520"/>
      </w:tblGrid>
      <w:tr>
        <w:trPr>
          <w:tblHeader/>
        </w:trPr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10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Цел</w:t>
            </w:r>
          </w:p>
        </w:tc>
        <w:tc>
          <w:tcPr>
            <w:tcW w:type="dxa" w:w="5520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0F354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Защо е важна</w:t>
            </w:r>
          </w:p>
        </w:tc>
      </w:tr>
      <w:tr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Outreach съобщения / седм.</w:t>
            </w:r>
          </w:p>
        </w:tc>
        <w:tc>
          <w:tcPr>
            <w:tcW w:type="dxa" w:w="10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10–15</w:t>
            </w:r>
          </w:p>
        </w:tc>
        <w:tc>
          <w:tcPr>
            <w:tcW w:type="dxa" w:w="5520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Входящ поток — без него нищо не се случва</w:t>
            </w:r>
          </w:p>
        </w:tc>
      </w:tr>
      <w:tr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Reply rate</w:t>
            </w:r>
          </w:p>
        </w:tc>
        <w:tc>
          <w:tcPr>
            <w:tcW w:type="dxa" w:w="10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&gt;15%</w:t>
            </w:r>
          </w:p>
        </w:tc>
        <w:tc>
          <w:tcPr>
            <w:tcW w:type="dxa" w:w="5520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Валидира посланието; ако е под 10% — смени текста</w:t>
            </w:r>
          </w:p>
        </w:tc>
      </w:tr>
      <w:tr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Пилоти в ход</w:t>
            </w:r>
          </w:p>
        </w:tc>
        <w:tc>
          <w:tcPr>
            <w:tcW w:type="dxa" w:w="10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3 до М3</w:t>
            </w:r>
          </w:p>
        </w:tc>
        <w:tc>
          <w:tcPr>
            <w:tcW w:type="dxa" w:w="5520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Единственото, което води до продажби</w:t>
            </w:r>
          </w:p>
        </w:tc>
      </w:tr>
      <w:tr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Конверсия пилот → абонамент</w:t>
            </w:r>
          </w:p>
        </w:tc>
        <w:tc>
          <w:tcPr>
            <w:tcW w:type="dxa" w:w="10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&gt;50%</w:t>
            </w:r>
          </w:p>
        </w:tc>
        <w:tc>
          <w:tcPr>
            <w:tcW w:type="dxa" w:w="5520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Под 30% = офертата или резултатите не работят</w:t>
            </w:r>
          </w:p>
        </w:tc>
      </w:tr>
      <w:tr>
        <w:tc>
          <w:tcPr>
            <w:tcW w:type="dxa" w:w="3511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546"/>
                <w:sz w:val="20"/>
                <w:szCs w:val="20"/>
              </w:rPr>
              <w:t xml:space="preserve">Обекта оценени / месец</w:t>
            </w:r>
          </w:p>
        </w:tc>
        <w:tc>
          <w:tcPr>
            <w:tcW w:type="dxa" w:w="1003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546"/>
                <w:sz w:val="20"/>
                <w:szCs w:val="20"/>
              </w:rPr>
              <w:t xml:space="preserve">= план</w:t>
            </w:r>
          </w:p>
        </w:tc>
        <w:tc>
          <w:tcPr>
            <w:tcW w:type="dxa" w:w="5520"/>
            <w:tcBorders>
              <w:top w:val="single" w:color="C5D5DE" w:sz="1"/>
              <w:left w:val="single" w:color="C5D5DE" w:sz="1"/>
              <w:bottom w:val="single" w:color="C5D5DE" w:sz="1"/>
              <w:right w:val="single" w:color="C5D5DE" w:sz="1"/>
            </w:tcBorders>
            <w:shd w:fill="EE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D85"/>
                <w:sz w:val="20"/>
                <w:szCs w:val="20"/>
              </w:rPr>
              <w:t xml:space="preserve">Оперативна метрика; изоставане = капацитетен проблем</w:t>
            </w:r>
          </w:p>
        </w:tc>
      </w:tr>
    </w:tbl>
    <w:p>
      <w:pPr>
        <w:pBdr>
          <w:bottom w:val="single" w:color="1C7293" w:sz="3"/>
        </w:pBdr>
        <w:spacing w:after="70" w:before="200"/>
      </w:pPr>
      <w:r>
        <w:rPr>
          <w:rFonts w:ascii="Calibri" w:cs="Calibri" w:eastAsia="Calibri" w:hAnsi="Calibri"/>
          <w:b/>
          <w:bCs/>
          <w:caps/>
          <w:color w:val="1C7293"/>
          <w:spacing w:val="30"/>
          <w:sz w:val="20"/>
          <w:szCs w:val="20"/>
        </w:rPr>
        <w:t xml:space="preserve">10. 90-дневни приоритети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Цел 1 — Пилоти: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Стартирай 3 агентски пилота до Месец 2.5</w:t>
      </w:r>
    </w:p>
    <w:p>
      <w:pPr>
        <w:spacing w:after="40"/>
        <w:ind w:left="52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KR1: 5 топли интро разговора от картографиране на мрежата — до М1</w:t>
      </w:r>
    </w:p>
    <w:p>
      <w:pPr>
        <w:spacing w:after="40"/>
        <w:ind w:left="52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KR2: 150 outreach съобщения изпратени — до М2</w:t>
      </w:r>
    </w:p>
    <w:p>
      <w:pPr>
        <w:spacing w:after="90"/>
        <w:ind w:left="52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KR3: 3 пилота подписани и стартирани — до М2.5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Цел 2 — Доказателство: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Документирай резултат от първия пилот до М3</w:t>
      </w:r>
    </w:p>
    <w:p>
      <w:pPr>
        <w:spacing w:after="40"/>
        <w:ind w:left="52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KR1: Сравнение запитвания преди / след за 10-те обекта — до М3</w:t>
      </w:r>
    </w:p>
    <w:p>
      <w:pPr>
        <w:spacing w:after="90"/>
        <w:ind w:left="52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KR2: 1 case study с цитат от управител, публикуван в LinkedIn — до М3</w:t>
      </w:r>
    </w:p>
    <w:p>
      <w:pPr>
        <w:spacing w:after="70"/>
        <w:ind w:left="360"/>
      </w:pPr>
      <w:r>
        <w:rPr>
          <w:rFonts w:ascii="Calibri" w:cs="Calibri" w:eastAsia="Calibri" w:hAnsi="Calibri"/>
          <w:color w:val="1C7293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546"/>
          <w:sz w:val="22"/>
          <w:szCs w:val="22"/>
        </w:rPr>
        <w:t xml:space="preserve">Цел 3 — Присъствие: </w:t>
      </w:r>
      <w:r>
        <w:rPr>
          <w:rFonts w:ascii="Calibri" w:cs="Calibri" w:eastAsia="Calibri" w:hAnsi="Calibri"/>
          <w:b w:val="false"/>
          <w:bCs w:val="false"/>
          <w:color w:val="0F3546"/>
          <w:sz w:val="22"/>
          <w:szCs w:val="22"/>
        </w:rPr>
        <w:t xml:space="preserve">Изгради видимост в екосистемата без бюджет</w:t>
      </w:r>
    </w:p>
    <w:p>
      <w:pPr>
        <w:spacing w:after="40"/>
        <w:ind w:left="52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KR1: Профил в НСНИ членски директорий + 2 LinkedIn поста / седм. от М1</w:t>
      </w:r>
    </w:p>
    <w:p>
      <w:pPr>
        <w:spacing w:after="120"/>
        <w:ind w:left="520"/>
      </w:pPr>
      <w:r>
        <w:rPr>
          <w:rFonts w:ascii="Calibri" w:cs="Calibri" w:eastAsia="Calibri" w:hAnsi="Calibri"/>
          <w:b w:val="false"/>
          <w:bCs w:val="false"/>
          <w:color w:val="6B7D85"/>
          <w:sz w:val="20"/>
          <w:szCs w:val="20"/>
        </w:rPr>
        <w:t xml:space="preserve">KR2: 8 публикации с &gt;200 органични импресии всяка — до М3</w:t>
      </w:r>
    </w:p>
    <w:p>
      <w:pPr>
        <w:pBdr>
          <w:top w:val="single" w:color="C5D5DE" w:sz="2"/>
        </w:pBdr>
        <w:spacing w:after="0" w:before="60"/>
      </w:pPr>
      <w:r>
        <w:rPr>
          <w:rFonts w:ascii="Calibri" w:cs="Calibri" w:eastAsia="Calibri" w:hAnsi="Calibri"/>
          <w:color w:val="6B7D85"/>
          <w:sz w:val="18"/>
          <w:szCs w:val="18"/>
        </w:rPr>
        <w:t xml:space="preserve">Антон Гавраилов  ·  Водна оценка  ·  септември 2026</w:t>
      </w:r>
    </w:p>
    <w:sectPr>
      <w:pgSz w:w="11906" w:h="16838" w:orient="portrait"/>
      <w:pgMar w:top="936" w:right="936" w:bottom="93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2026-09-07T09:43:19.659Z</dcterms:created>
  <dcterms:modified xsi:type="dcterms:W3CDTF">2026-09-07T09:43:19.667Z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