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897B"/>
          <w:sz w:val="22"/>
        </w:rPr>
        <w:t>AnalystLab Africa — Experience Lab</w:t>
      </w:r>
    </w:p>
    <w:p>
      <w:pPr>
        <w:jc w:val="center"/>
      </w:pPr>
      <w:r>
        <w:rPr>
          <w:b/>
          <w:color w:val="155A53"/>
          <w:sz w:val="52"/>
        </w:rPr>
        <w:t>HealthConnect Final Analytics &amp; Decision Support Package</w:t>
      </w:r>
    </w:p>
    <w:p>
      <w:pPr>
        <w:jc w:val="center"/>
      </w:pPr>
      <w:r>
        <w:rPr>
          <w:b w:val="0"/>
          <w:color w:val="52514E"/>
          <w:sz w:val="26"/>
        </w:rPr>
        <w:t>Tableau de bord final, KPIs validés, insights business et recommandations</w:t>
      </w:r>
    </w:p>
    <w:p/>
    <w:p>
      <w:pPr>
        <w:jc w:val="center"/>
      </w:pPr>
      <w:r>
        <w:rPr>
          <w:color w:val="1F2A37"/>
          <w:sz w:val="22"/>
        </w:rPr>
        <w:t>Piste : Data Analytics — Semaine 8 (Final Integration &amp; Presentation)</w:t>
      </w:r>
    </w:p>
    <w:p>
      <w:pPr>
        <w:jc w:val="center"/>
      </w:pPr>
      <w:r>
        <w:rPr>
          <w:color w:val="1F2A37"/>
          <w:sz w:val="22"/>
        </w:rPr>
        <w:t>Josfrid AGBADOGBE, Data Analytics Intern</w:t>
      </w:r>
    </w:p>
    <w:p>
      <w:pPr>
        <w:jc w:val="center"/>
      </w:pPr>
      <w:r>
        <w:rPr>
          <w:color w:val="1F2A37"/>
          <w:sz w:val="22"/>
        </w:rPr>
        <w:t>Septembre 2026</w:t>
      </w:r>
    </w:p>
    <w:p>
      <w:r>
        <w:br w:type="page"/>
      </w:r>
    </w:p>
    <w:p>
      <w:pPr>
        <w:pStyle w:val="Heading1"/>
      </w:pPr>
      <w:r>
        <w:t>Executive Summary</w:t>
      </w:r>
    </w:p>
    <w:p>
      <w:r>
        <w:rPr>
          <w:i/>
          <w:color w:val="52514E"/>
        </w:rPr>
        <w:t>Question du projet : comment HealthConnect Clinic peut-elle utiliser les données et l'IA pour réduire les rendez-vous manqués et améliorer l'expérience de support patient ?</w:t>
      </w:r>
    </w:p>
    <w:p>
      <w:r>
        <w:rPr>
          <w:i w:val="0"/>
        </w:rPr>
        <w:t>Sur 5 000 rendez-vous, 48,46% se soldent par un no-show (51,15% parmi les rendez-vous où une présence était attendue). Quatre semaines d'analyse, de validation statistique et de tests aboutissent à cinq constats validés et à un protocole d'action directement utilisable par la clinique.</w:t>
      </w:r>
    </w:p>
    <w:p>
      <w:pPr>
        <w:pStyle w:val="Heading3"/>
      </w:pPr>
      <w:r>
        <w:t>Ce que les données montrent</w:t>
      </w:r>
    </w:p>
    <w:p>
      <w:pPr>
        <w:pStyle w:val="ListBullet"/>
      </w:pPr>
      <w:r>
        <w:rPr>
          <w:b/>
        </w:rPr>
        <w:t xml:space="preserve">Le délai de réservation est le facteur n°1 : </w:t>
      </w:r>
      <w:r>
        <w:t>le no-show passe de 29,5% (0-7 jours) à 71,4% (46-60 jours), χ² = 385,57, p &lt; 0,0001.</w:t>
      </w:r>
    </w:p>
    <w:p>
      <w:pPr>
        <w:pStyle w:val="ListBullet"/>
      </w:pPr>
      <w:r>
        <w:rPr>
          <w:b/>
        </w:rPr>
        <w:t xml:space="preserve">L'historique du patient est le facteur n°2 : </w:t>
      </w:r>
      <w:r>
        <w:t>46,3% sans antécédent contre 70,3% avec 3 no-shows précédents ou plus.</w:t>
      </w:r>
    </w:p>
    <w:p>
      <w:pPr>
        <w:pStyle w:val="ListBullet"/>
      </w:pPr>
      <w:r>
        <w:rPr>
          <w:b/>
        </w:rPr>
        <w:t xml:space="preserve">Un segment « High Risk » concentre le problème : </w:t>
      </w:r>
      <w:r>
        <w:t>délai &gt; 30 jours ET au moins 1 no-show précédent, soit 20,6% des rendez-vous, avec 70,5% de no-show.</w:t>
      </w:r>
    </w:p>
    <w:p>
      <w:pPr>
        <w:pStyle w:val="ListBullet"/>
      </w:pPr>
      <w:r>
        <w:rPr>
          <w:b/>
        </w:rPr>
        <w:t xml:space="preserve">Plus d'un rendez-vous sur quatre ne reçoit aucun rappel : </w:t>
      </w:r>
      <w:r>
        <w:t>27,3% des RDV, avec le taux de no-show le plus élevé par canal (54,6% contre 48,0% pour le SMS).</w:t>
      </w:r>
    </w:p>
    <w:p>
      <w:pPr>
        <w:pStyle w:val="ListBullet"/>
      </w:pPr>
      <w:r>
        <w:rPr>
          <w:b/>
        </w:rPr>
        <w:t xml:space="preserve">Le modèle prédictif final (seuil 0,40) est validé par validation croisée 5-fold : </w:t>
      </w:r>
      <w:r>
        <w:t>rappel 0,817 (contre 0,662 à 0,50), F1 0,685, résultats stables (écart-type ≤ 0,016).</w:t>
      </w:r>
    </w:p>
    <w:p>
      <w:pPr>
        <w:pStyle w:val="Heading3"/>
      </w:pPr>
      <w:r>
        <w:t>Ce que nous recommandons</w:t>
      </w:r>
    </w:p>
    <w:p>
      <w:pPr>
        <w:tabs>
          <w:tab w:pos="357" w:val="left"/>
        </w:tabs>
        <w:spacing w:after="60"/>
        <w:ind w:left="357" w:hanging="357"/>
      </w:pPr>
      <w:r>
        <w:t>1.</w:t>
        <w:tab/>
      </w:r>
      <w:r>
        <w:rPr>
          <w:b/>
        </w:rPr>
        <w:t xml:space="preserve">Protocole de rappel à 3 niveaux : </w:t>
      </w:r>
      <w:r>
        <w:t>appel personnel pour le segment High Risk (~206 RDV sur 1 000), double rappel SMS pour les autres RDV signalés par le modèle (~517 sur 1 000), SMS standard pour tous les autres (~277 sur 1 000).</w:t>
      </w:r>
    </w:p>
    <w:p>
      <w:pPr>
        <w:tabs>
          <w:tab w:pos="357" w:val="left"/>
        </w:tabs>
        <w:spacing w:after="60"/>
        <w:ind w:left="357" w:hanging="357"/>
      </w:pPr>
      <w:r>
        <w:t>2.</w:t>
        <w:tab/>
      </w:r>
      <w:r>
        <w:rPr>
          <w:b/>
        </w:rPr>
        <w:t xml:space="preserve">Zéro rendez-vous sans rappel, SMS par défaut. </w:t>
      </w:r>
      <w:r/>
    </w:p>
    <w:p>
      <w:pPr>
        <w:tabs>
          <w:tab w:pos="357" w:val="left"/>
        </w:tabs>
        <w:spacing w:after="60"/>
        <w:ind w:left="357" w:hanging="357"/>
      </w:pPr>
      <w:r>
        <w:t>3.</w:t>
        <w:tab/>
      </w:r>
      <w:r>
        <w:rPr>
          <w:b/>
        </w:rPr>
        <w:t xml:space="preserve">Rappel intermédiaire à mi-délai pour tout rendez-vous réservé à plus de 30 jours. </w:t>
      </w:r>
      <w:r/>
    </w:p>
    <w:p>
      <w:pPr>
        <w:tabs>
          <w:tab w:pos="357" w:val="left"/>
        </w:tabs>
        <w:spacing w:after="60"/>
        <w:ind w:left="357" w:hanging="357"/>
      </w:pPr>
      <w:r>
        <w:t>4.</w:t>
        <w:tab/>
      </w:r>
      <w:r>
        <w:rPr>
          <w:b/>
        </w:rPr>
        <w:t xml:space="preserve">Ne jamais supprimer les rappels du segment « Low Risk » : </w:t>
      </w:r>
      <w:r>
        <w:t>le modèle y manque encore 67,8% des vrais no-shows.</w:t>
      </w:r>
    </w:p>
    <w:tbl>
      <w:tblPr>
        <w:tblW w:type="auto" w:w="0"/>
        <w:jc w:val="center"/>
        <w:tblLook w:firstColumn="1" w:firstRow="1" w:lastColumn="0" w:lastRow="0" w:noHBand="0" w:noVBand="1" w:val="04A0"/>
      </w:tblPr>
      <w:tblGrid>
        <w:gridCol w:w="9412"/>
      </w:tblGrid>
      <w:tr>
        <w:tc>
          <w:tcPr>
            <w:tcW w:type="dxa" w:w="9411"/>
            <w:shd w:val="clear" w:color="auto" w:fill="EEF7F6"/>
          </w:tcPr>
          <w:p>
            <w:r/>
            <w:r>
              <w:rPr>
                <w:b/>
                <w:color w:val="155A53"/>
                <w:sz w:val="21"/>
              </w:rPr>
              <w:t>Correction importante apportée en Semaine 8</w:t>
            </w:r>
          </w:p>
          <w:p>
            <w:r>
              <w:rPr>
                <w:sz w:val="20"/>
              </w:rPr>
              <w:t>Le chiffre de 34,3 % publié en Semaine 7 pour le segment Low Risk est exact, mais il avait été présenté comme « la part des vrais no-shows manqués ». Il s'agit en réalité de la part de tous les rendez-vous Low Risk qui sont des no-shows manqués. Rapporté aux seuls vrais no-shows, le modèle en manque 96,6% à 0,50 et encore 67,8% à 0,40. La conclusion (maintenir les rappels pour tous) est donc renforcée, pas affaiblie.</w:t>
            </w:r>
          </w:p>
        </w:tc>
      </w:tr>
    </w:tbl>
    <w:p>
      <w:pPr>
        <w:spacing w:after="40"/>
      </w:pPr>
    </w:p>
    <w:p>
      <w:r>
        <w:br w:type="page"/>
      </w:r>
    </w:p>
    <w:p>
      <w:pPr>
        <w:pStyle w:val="Heading1"/>
      </w:pPr>
      <w:r>
        <w:t>1. Transition Semaine 7 → Semaine 8</w:t>
      </w:r>
    </w:p>
    <w:p>
      <w:r>
        <w:rPr>
          <w:i w:val="0"/>
          <w:color w:val="52514E"/>
        </w:rPr>
        <w:t>Synthèse volontairement courte ; le détail complet se trouve dans HealthConnect_Analytics_Testing_Refinement_Report (Semaine 7).</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4706"/>
        <w:gridCol w:w="4706"/>
      </w:tblGrid>
      <w:tr>
        <w:trPr>
          <w:tblHeader w:val="true"/>
          <w:cantSplit/>
        </w:trPr>
        <w:tc>
          <w:tcPr>
            <w:tcW w:type="dxa" w:w="2835"/>
            <w:shd w:val="clear" w:color="auto" w:fill="155A53"/>
          </w:tcPr>
          <w:p>
            <w:r/>
            <w:r>
              <w:rPr>
                <w:b/>
                <w:color w:val="FFFFFF"/>
                <w:sz w:val="19"/>
              </w:rPr>
              <w:t>Élément</w:t>
            </w:r>
          </w:p>
        </w:tc>
        <w:tc>
          <w:tcPr>
            <w:tcW w:type="dxa" w:w="6576"/>
            <w:shd w:val="clear" w:color="auto" w:fill="155A53"/>
          </w:tcPr>
          <w:p>
            <w:r/>
            <w:r>
              <w:rPr>
                <w:b/>
                <w:color w:val="FFFFFF"/>
                <w:sz w:val="19"/>
              </w:rPr>
              <w:t>Réponse</w:t>
            </w:r>
          </w:p>
        </w:tc>
      </w:tr>
      <w:tr>
        <w:trPr>
          <w:cantSplit/>
        </w:trPr>
        <w:tc>
          <w:tcPr>
            <w:tcW w:type="dxa" w:w="2835"/>
          </w:tcPr>
          <w:p>
            <w:pPr>
              <w:spacing w:after="20"/>
            </w:pPr>
            <w:r/>
            <w:r>
              <w:rPr>
                <w:b/>
                <w:sz w:val="19"/>
              </w:rPr>
              <w:t>Principal output Semaine 7</w:t>
            </w:r>
          </w:p>
        </w:tc>
        <w:tc>
          <w:tcPr>
            <w:tcW w:type="dxa" w:w="6576"/>
          </w:tcPr>
          <w:p>
            <w:pPr>
              <w:spacing w:after="20"/>
            </w:pPr>
            <w:r/>
            <w:r>
              <w:rPr>
                <w:sz w:val="19"/>
              </w:rPr>
              <w:t>Rapport de test et raffinement : audit des KPIs, investigation d'anomalie, analyse d'erreur du modèle par segment, script reproductible</w:t>
            </w:r>
          </w:p>
        </w:tc>
      </w:tr>
      <w:tr>
        <w:trPr>
          <w:cantSplit/>
        </w:trPr>
        <w:tc>
          <w:tcPr>
            <w:tcW w:type="dxa" w:w="2835"/>
            <w:shd w:val="clear" w:color="auto" w:fill="EEF7F6"/>
          </w:tcPr>
          <w:p>
            <w:pPr>
              <w:spacing w:after="20"/>
            </w:pPr>
            <w:r/>
            <w:r>
              <w:rPr>
                <w:b/>
                <w:sz w:val="19"/>
              </w:rPr>
              <w:t>Résultat de test le plus important</w:t>
            </w:r>
          </w:p>
        </w:tc>
        <w:tc>
          <w:tcPr>
            <w:tcW w:type="dxa" w:w="6576"/>
            <w:shd w:val="clear" w:color="auto" w:fill="EEF7F6"/>
          </w:tcPr>
          <w:p>
            <w:pPr>
              <w:spacing w:after="20"/>
            </w:pPr>
            <w:r/>
            <w:r>
              <w:rPr>
                <w:sz w:val="19"/>
              </w:rPr>
              <w:t>13/13 valeurs KPI publiées recalculées à l'identique (100 % de correspondance)</w:t>
            </w:r>
          </w:p>
        </w:tc>
      </w:tr>
      <w:tr>
        <w:trPr>
          <w:cantSplit/>
        </w:trPr>
        <w:tc>
          <w:tcPr>
            <w:tcW w:type="dxa" w:w="2835"/>
          </w:tcPr>
          <w:p>
            <w:pPr>
              <w:spacing w:after="20"/>
            </w:pPr>
            <w:r/>
            <w:r>
              <w:rPr>
                <w:b/>
                <w:sz w:val="19"/>
              </w:rPr>
              <w:t>Problème majeur découvert</w:t>
            </w:r>
          </w:p>
        </w:tc>
        <w:tc>
          <w:tcPr>
            <w:tcW w:type="dxa" w:w="6576"/>
          </w:tcPr>
          <w:p>
            <w:pPr>
              <w:spacing w:after="20"/>
            </w:pPr>
            <w:r/>
            <w:r>
              <w:rPr>
                <w:sz w:val="19"/>
              </w:rPr>
              <w:t>Le modèle (seuil 0,50) manquait massivement les no-shows hors segment High Risk, invisible dans l'accuracy globale (62,4 %)</w:t>
            </w:r>
          </w:p>
        </w:tc>
      </w:tr>
      <w:tr>
        <w:trPr>
          <w:cantSplit/>
        </w:trPr>
        <w:tc>
          <w:tcPr>
            <w:tcW w:type="dxa" w:w="2835"/>
            <w:shd w:val="clear" w:color="auto" w:fill="EEF7F6"/>
          </w:tcPr>
          <w:p>
            <w:pPr>
              <w:spacing w:after="20"/>
            </w:pPr>
            <w:r/>
            <w:r>
              <w:rPr>
                <w:b/>
                <w:sz w:val="19"/>
              </w:rPr>
              <w:t>Ce qui a été raffiné</w:t>
            </w:r>
          </w:p>
        </w:tc>
        <w:tc>
          <w:tcPr>
            <w:tcW w:type="dxa" w:w="6576"/>
            <w:shd w:val="clear" w:color="auto" w:fill="EEF7F6"/>
          </w:tcPr>
          <w:p>
            <w:pPr>
              <w:spacing w:after="20"/>
            </w:pPr>
            <w:r/>
            <w:r>
              <w:rPr>
                <w:sz w:val="19"/>
              </w:rPr>
              <w:t>Seuil de décision abaissé de 0,50 à 0,40 ; heatmap annotée (n &lt; 30) ; recommandations mises à jour</w:t>
            </w:r>
          </w:p>
        </w:tc>
      </w:tr>
      <w:tr>
        <w:trPr>
          <w:cantSplit/>
        </w:trPr>
        <w:tc>
          <w:tcPr>
            <w:tcW w:type="dxa" w:w="2835"/>
          </w:tcPr>
          <w:p>
            <w:pPr>
              <w:spacing w:after="20"/>
            </w:pPr>
            <w:r/>
            <w:r>
              <w:rPr>
                <w:b/>
                <w:sz w:val="19"/>
              </w:rPr>
              <w:t>Composant désormais prêt</w:t>
            </w:r>
          </w:p>
        </w:tc>
        <w:tc>
          <w:tcPr>
            <w:tcW w:type="dxa" w:w="6576"/>
          </w:tcPr>
          <w:p>
            <w:pPr>
              <w:spacing w:after="20"/>
            </w:pPr>
            <w:r/>
            <w:r>
              <w:rPr>
                <w:sz w:val="19"/>
              </w:rPr>
              <w:t>Jeu de KPIs validés + segmentation de risque à 4 niveaux + modèle candidat final à seuil 0,40</w:t>
            </w:r>
          </w:p>
        </w:tc>
      </w:tr>
      <w:tr>
        <w:trPr>
          <w:cantSplit/>
        </w:trPr>
        <w:tc>
          <w:tcPr>
            <w:tcW w:type="dxa" w:w="2835"/>
            <w:shd w:val="clear" w:color="auto" w:fill="EEF7F6"/>
          </w:tcPr>
          <w:p>
            <w:pPr>
              <w:spacing w:after="20"/>
            </w:pPr>
            <w:r/>
            <w:r>
              <w:rPr>
                <w:b/>
                <w:sz w:val="19"/>
              </w:rPr>
              <w:t>Ce qui restait à intégrer</w:t>
            </w:r>
          </w:p>
        </w:tc>
        <w:tc>
          <w:tcPr>
            <w:tcW w:type="dxa" w:w="6576"/>
            <w:shd w:val="clear" w:color="auto" w:fill="EEF7F6"/>
          </w:tcPr>
          <w:p>
            <w:pPr>
              <w:spacing w:after="20"/>
            </w:pPr>
            <w:r/>
            <w:r>
              <w:rPr>
                <w:sz w:val="19"/>
              </w:rPr>
              <w:t>Validation croisée du seuil, faisabilité opérationnelle (volume d'alertes) pour la Gestion de Projet, spécification pour ML Engineering</w:t>
            </w:r>
          </w:p>
        </w:tc>
      </w:tr>
      <w:tr>
        <w:trPr>
          <w:cantSplit/>
        </w:trPr>
        <w:tc>
          <w:tcPr>
            <w:tcW w:type="dxa" w:w="2835"/>
          </w:tcPr>
          <w:p>
            <w:pPr>
              <w:spacing w:after="20"/>
            </w:pPr>
            <w:r/>
            <w:r>
              <w:rPr>
                <w:b/>
                <w:sz w:val="19"/>
              </w:rPr>
              <w:t>Pistes impliquées</w:t>
            </w:r>
          </w:p>
        </w:tc>
        <w:tc>
          <w:tcPr>
            <w:tcW w:type="dxa" w:w="6576"/>
          </w:tcPr>
          <w:p>
            <w:pPr>
              <w:spacing w:after="20"/>
            </w:pPr>
            <w:r/>
            <w:r>
              <w:rPr>
                <w:sz w:val="19"/>
              </w:rPr>
              <w:t>Data Science (auto-assumée), Project Management, ML Engineering, Generative AI</w:t>
            </w:r>
          </w:p>
        </w:tc>
      </w:tr>
      <w:tr>
        <w:trPr>
          <w:cantSplit/>
        </w:trPr>
        <w:tc>
          <w:tcPr>
            <w:tcW w:type="dxa" w:w="2835"/>
            <w:shd w:val="clear" w:color="auto" w:fill="EEF7F6"/>
          </w:tcPr>
          <w:p>
            <w:pPr>
              <w:spacing w:after="20"/>
            </w:pPr>
            <w:r/>
            <w:r>
              <w:rPr>
                <w:b/>
                <w:sz w:val="19"/>
              </w:rPr>
              <w:t>Ce que je démontrerai</w:t>
            </w:r>
          </w:p>
        </w:tc>
        <w:tc>
          <w:tcPr>
            <w:tcW w:type="dxa" w:w="6576"/>
            <w:shd w:val="clear" w:color="auto" w:fill="EEF7F6"/>
          </w:tcPr>
          <w:p>
            <w:pPr>
              <w:spacing w:after="20"/>
            </w:pPr>
            <w:r/>
            <w:r>
              <w:rPr>
                <w:sz w:val="19"/>
              </w:rPr>
              <w:t>Le cycle complet validation → test → raffinement → décision, et le protocole d'action à 3 niveaux</w:t>
            </w:r>
          </w:p>
        </w:tc>
      </w:tr>
    </w:tbl>
    <w:p>
      <w:pPr>
        <w:spacing w:after="40"/>
      </w:pPr>
    </w:p>
    <w:p>
      <w:pPr>
        <w:pStyle w:val="Heading1"/>
      </w:pPr>
      <w:r>
        <w:t>2. Final Integration Readiness (Part 1)</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4706"/>
        <w:gridCol w:w="4706"/>
      </w:tblGrid>
      <w:tr>
        <w:trPr>
          <w:tblHeader w:val="true"/>
          <w:cantSplit/>
        </w:trPr>
        <w:tc>
          <w:tcPr>
            <w:tcW w:type="dxa" w:w="2835"/>
            <w:shd w:val="clear" w:color="auto" w:fill="155A53"/>
          </w:tcPr>
          <w:p>
            <w:r/>
            <w:r>
              <w:rPr>
                <w:b/>
                <w:color w:val="FFFFFF"/>
                <w:sz w:val="19"/>
              </w:rPr>
              <w:t>Exigence</w:t>
            </w:r>
          </w:p>
        </w:tc>
        <w:tc>
          <w:tcPr>
            <w:tcW w:type="dxa" w:w="6576"/>
            <w:shd w:val="clear" w:color="auto" w:fill="155A53"/>
          </w:tcPr>
          <w:p>
            <w:r/>
            <w:r>
              <w:rPr>
                <w:b/>
                <w:color w:val="FFFFFF"/>
                <w:sz w:val="19"/>
              </w:rPr>
              <w:t>Ma réponse</w:t>
            </w:r>
          </w:p>
        </w:tc>
      </w:tr>
      <w:tr>
        <w:trPr>
          <w:cantSplit/>
        </w:trPr>
        <w:tc>
          <w:tcPr>
            <w:tcW w:type="dxa" w:w="2835"/>
          </w:tcPr>
          <w:p>
            <w:pPr>
              <w:spacing w:after="20"/>
            </w:pPr>
            <w:r/>
            <w:r>
              <w:rPr>
                <w:b/>
                <w:sz w:val="19"/>
              </w:rPr>
              <w:t>Quel est mon composant final ?</w:t>
            </w:r>
          </w:p>
        </w:tc>
        <w:tc>
          <w:tcPr>
            <w:tcW w:type="dxa" w:w="6576"/>
          </w:tcPr>
          <w:p>
            <w:pPr>
              <w:spacing w:after="20"/>
            </w:pPr>
            <w:r/>
            <w:r>
              <w:rPr>
                <w:sz w:val="19"/>
              </w:rPr>
              <w:t>Le HealthConnect Final Analytics &amp; Decision Support Package : tableau de bord final, 5 KPIs validés, segmentation de risque, protocole d'action à 3 niveaux, spécification du modèle candidat (seuil 0,40)</w:t>
            </w:r>
          </w:p>
        </w:tc>
      </w:tr>
      <w:tr>
        <w:trPr>
          <w:cantSplit/>
        </w:trPr>
        <w:tc>
          <w:tcPr>
            <w:tcW w:type="dxa" w:w="2835"/>
            <w:shd w:val="clear" w:color="auto" w:fill="EEF7F6"/>
          </w:tcPr>
          <w:p>
            <w:pPr>
              <w:spacing w:after="20"/>
            </w:pPr>
            <w:r/>
            <w:r>
              <w:rPr>
                <w:b/>
                <w:sz w:val="19"/>
              </w:rPr>
              <w:t>Quel problème résout-il ?</w:t>
            </w:r>
          </w:p>
        </w:tc>
        <w:tc>
          <w:tcPr>
            <w:tcW w:type="dxa" w:w="6576"/>
            <w:shd w:val="clear" w:color="auto" w:fill="EEF7F6"/>
          </w:tcPr>
          <w:p>
            <w:pPr>
              <w:spacing w:after="20"/>
            </w:pPr>
            <w:r/>
            <w:r>
              <w:rPr>
                <w:sz w:val="19"/>
              </w:rPr>
              <w:t>Il indique quels rendez-vous risquent un no-show, pourquoi, et quelle action proportionnée leur appliquer, au lieu de traiter tous les patients de la même façon</w:t>
            </w:r>
          </w:p>
        </w:tc>
      </w:tr>
      <w:tr>
        <w:trPr>
          <w:cantSplit/>
        </w:trPr>
        <w:tc>
          <w:tcPr>
            <w:tcW w:type="dxa" w:w="2835"/>
          </w:tcPr>
          <w:p>
            <w:pPr>
              <w:spacing w:after="20"/>
            </w:pPr>
            <w:r/>
            <w:r>
              <w:rPr>
                <w:b/>
                <w:sz w:val="19"/>
              </w:rPr>
              <w:t>Statut actuel</w:t>
            </w:r>
          </w:p>
        </w:tc>
        <w:tc>
          <w:tcPr>
            <w:tcW w:type="dxa" w:w="6576"/>
          </w:tcPr>
          <w:p>
            <w:pPr>
              <w:spacing w:after="20"/>
            </w:pPr>
            <w:r/>
            <w:r>
              <w:rPr>
                <w:sz w:val="19"/>
              </w:rPr>
              <w:t>Finalisé et reproductible (HealthConnect_Final_Analytics.py régénère tous les chiffres et figures)</w:t>
            </w:r>
          </w:p>
        </w:tc>
      </w:tr>
      <w:tr>
        <w:trPr>
          <w:cantSplit/>
        </w:trPr>
        <w:tc>
          <w:tcPr>
            <w:tcW w:type="dxa" w:w="2835"/>
            <w:shd w:val="clear" w:color="auto" w:fill="EEF7F6"/>
          </w:tcPr>
          <w:p>
            <w:pPr>
              <w:spacing w:after="20"/>
            </w:pPr>
            <w:r/>
            <w:r>
              <w:rPr>
                <w:b/>
                <w:sz w:val="19"/>
              </w:rPr>
              <w:t>Amélioré en Semaine 7</w:t>
            </w:r>
          </w:p>
        </w:tc>
        <w:tc>
          <w:tcPr>
            <w:tcW w:type="dxa" w:w="6576"/>
            <w:shd w:val="clear" w:color="auto" w:fill="EEF7F6"/>
          </w:tcPr>
          <w:p>
            <w:pPr>
              <w:spacing w:after="20"/>
            </w:pPr>
            <w:r/>
            <w:r>
              <w:rPr>
                <w:sz w:val="19"/>
              </w:rPr>
              <w:t>Audit des KPIs, anomalie de la heatmap expliquée (bruit, n = 13), seuil 0,50 → 0,40</w:t>
            </w:r>
          </w:p>
        </w:tc>
      </w:tr>
      <w:tr>
        <w:trPr>
          <w:cantSplit/>
        </w:trPr>
        <w:tc>
          <w:tcPr>
            <w:tcW w:type="dxa" w:w="2835"/>
          </w:tcPr>
          <w:p>
            <w:pPr>
              <w:spacing w:after="20"/>
            </w:pPr>
            <w:r/>
            <w:r>
              <w:rPr>
                <w:b/>
                <w:sz w:val="19"/>
              </w:rPr>
              <w:t>Dépend de quelles pistes ?</w:t>
            </w:r>
          </w:p>
        </w:tc>
        <w:tc>
          <w:tcPr>
            <w:tcW w:type="dxa" w:w="6576"/>
          </w:tcPr>
          <w:p>
            <w:pPr>
              <w:spacing w:after="20"/>
            </w:pPr>
            <w:r/>
            <w:r>
              <w:rPr>
                <w:sz w:val="19"/>
              </w:rPr>
              <w:t>Data Science (modèle candidat), Project Management (capacité opérationnelle pour valider le volume d'alertes)</w:t>
            </w:r>
          </w:p>
        </w:tc>
      </w:tr>
      <w:tr>
        <w:trPr>
          <w:cantSplit/>
        </w:trPr>
        <w:tc>
          <w:tcPr>
            <w:tcW w:type="dxa" w:w="2835"/>
            <w:shd w:val="clear" w:color="auto" w:fill="EEF7F6"/>
          </w:tcPr>
          <w:p>
            <w:pPr>
              <w:spacing w:after="20"/>
            </w:pPr>
            <w:r/>
            <w:r>
              <w:rPr>
                <w:b/>
                <w:sz w:val="19"/>
              </w:rPr>
              <w:t>Quelles pistes dépendent de moi ?</w:t>
            </w:r>
          </w:p>
        </w:tc>
        <w:tc>
          <w:tcPr>
            <w:tcW w:type="dxa" w:w="6576"/>
            <w:shd w:val="clear" w:color="auto" w:fill="EEF7F6"/>
          </w:tcPr>
          <w:p>
            <w:pPr>
              <w:spacing w:after="20"/>
            </w:pPr>
            <w:r/>
            <w:r>
              <w:rPr>
                <w:sz w:val="19"/>
              </w:rPr>
              <w:t>Data Science (features, segments), ML Engineering (schéma d'entrée/sortie, seuil), Project Management (décisions, KPIs de suivi), GenAI (règle d'escalade vers un humain pour High Risk)</w:t>
            </w:r>
          </w:p>
        </w:tc>
      </w:tr>
      <w:tr>
        <w:trPr>
          <w:cantSplit/>
        </w:trPr>
        <w:tc>
          <w:tcPr>
            <w:tcW w:type="dxa" w:w="2835"/>
          </w:tcPr>
          <w:p>
            <w:pPr>
              <w:spacing w:after="20"/>
            </w:pPr>
            <w:r/>
            <w:r>
              <w:rPr>
                <w:b/>
                <w:sz w:val="19"/>
              </w:rPr>
              <w:t>Output que je fournis</w:t>
            </w:r>
          </w:p>
        </w:tc>
        <w:tc>
          <w:tcPr>
            <w:tcW w:type="dxa" w:w="6576"/>
          </w:tcPr>
          <w:p>
            <w:pPr>
              <w:spacing w:after="20"/>
            </w:pPr>
            <w:r/>
            <w:r>
              <w:rPr>
                <w:sz w:val="19"/>
              </w:rPr>
              <w:t>outputs/final_kpis.json, tableau de bord, table de décision, spécification du modèle (section 8)</w:t>
            </w:r>
          </w:p>
        </w:tc>
      </w:tr>
      <w:tr>
        <w:trPr>
          <w:cantSplit/>
        </w:trPr>
        <w:tc>
          <w:tcPr>
            <w:tcW w:type="dxa" w:w="2835"/>
            <w:shd w:val="clear" w:color="auto" w:fill="EEF7F6"/>
          </w:tcPr>
          <w:p>
            <w:pPr>
              <w:spacing w:after="20"/>
            </w:pPr>
            <w:r/>
            <w:r>
              <w:rPr>
                <w:b/>
                <w:sz w:val="19"/>
              </w:rPr>
              <w:t>Output dont j'ai besoin</w:t>
            </w:r>
          </w:p>
        </w:tc>
        <w:tc>
          <w:tcPr>
            <w:tcW w:type="dxa" w:w="6576"/>
            <w:shd w:val="clear" w:color="auto" w:fill="EEF7F6"/>
          </w:tcPr>
          <w:p>
            <w:pPr>
              <w:spacing w:after="20"/>
            </w:pPr>
            <w:r/>
            <w:r>
              <w:rPr>
                <w:sz w:val="19"/>
              </w:rPr>
              <w:t>Confirmation par la Gestion de Projet de la capacité d'appel (~206 appels / 1 000 RDV) ; contraintes du pipeline ML (format d'entrée)</w:t>
            </w:r>
          </w:p>
        </w:tc>
      </w:tr>
      <w:tr>
        <w:trPr>
          <w:cantSplit/>
        </w:trPr>
        <w:tc>
          <w:tcPr>
            <w:tcW w:type="dxa" w:w="2835"/>
          </w:tcPr>
          <w:p>
            <w:pPr>
              <w:spacing w:after="20"/>
            </w:pPr>
            <w:r/>
            <w:r>
              <w:rPr>
                <w:b/>
                <w:sz w:val="19"/>
              </w:rPr>
              <w:t>Preuves de readiness</w:t>
            </w:r>
          </w:p>
        </w:tc>
        <w:tc>
          <w:tcPr>
            <w:tcW w:type="dxa" w:w="6576"/>
          </w:tcPr>
          <w:p>
            <w:pPr>
              <w:spacing w:after="20"/>
            </w:pPr>
            <w:r/>
            <w:r>
              <w:rPr>
                <w:sz w:val="19"/>
              </w:rPr>
              <w:t>KPIs recalculés à 100 % ; CV 5-fold stable (F1 0,685 ± 0,006) ; script reproductible à chemins relatifs</w:t>
            </w:r>
          </w:p>
        </w:tc>
      </w:tr>
      <w:tr>
        <w:trPr>
          <w:cantSplit/>
        </w:trPr>
        <w:tc>
          <w:tcPr>
            <w:tcW w:type="dxa" w:w="2835"/>
            <w:shd w:val="clear" w:color="auto" w:fill="EEF7F6"/>
          </w:tcPr>
          <w:p>
            <w:pPr>
              <w:spacing w:after="20"/>
            </w:pPr>
            <w:r/>
            <w:r>
              <w:rPr>
                <w:b/>
                <w:sz w:val="19"/>
              </w:rPr>
              <w:t>Limites restantes</w:t>
            </w:r>
          </w:p>
        </w:tc>
        <w:tc>
          <w:tcPr>
            <w:tcW w:type="dxa" w:w="6576"/>
            <w:shd w:val="clear" w:color="auto" w:fill="EEF7F6"/>
          </w:tcPr>
          <w:p>
            <w:pPr>
              <w:spacing w:after="20"/>
            </w:pPr>
            <w:r/>
            <w:r>
              <w:rPr>
                <w:sz w:val="19"/>
              </w:rPr>
              <w:t>Analyse corrélationnelle, dataset fictif, précision du modèle modérée (0,59), pas de validation temporelle (section 10)</w:t>
            </w:r>
          </w:p>
        </w:tc>
      </w:tr>
    </w:tbl>
    <w:p>
      <w:pPr>
        <w:spacing w:after="40"/>
      </w:pPr>
    </w:p>
    <w:p>
      <w:r>
        <w:br w:type="page"/>
      </w:r>
    </w:p>
    <w:p>
      <w:pPr>
        <w:pStyle w:val="Heading1"/>
      </w:pPr>
      <w:r>
        <w:t>3. KPIs Finaux Confirmés</w:t>
      </w:r>
    </w:p>
    <w:p>
      <w:r>
        <w:rPr>
          <w:i w:val="0"/>
        </w:rPr>
        <w:t>Chaque KPI a été recalculé en Semaine 8 à partir du dataset nettoyé (le fichier original n'a jamais été modifié). Les valeurs sont identiques à celles publiées en Semaines 5 à 7.</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2353"/>
        <w:gridCol w:w="2353"/>
        <w:gridCol w:w="2353"/>
        <w:gridCol w:w="2353"/>
      </w:tblGrid>
      <w:tr>
        <w:trPr>
          <w:tblHeader w:val="true"/>
          <w:cantSplit/>
        </w:trPr>
        <w:tc>
          <w:tcPr>
            <w:tcW w:type="dxa" w:w="2438"/>
            <w:shd w:val="clear" w:color="auto" w:fill="155A53"/>
          </w:tcPr>
          <w:p>
            <w:r/>
            <w:r>
              <w:rPr>
                <w:b/>
                <w:color w:val="FFFFFF"/>
                <w:sz w:val="19"/>
              </w:rPr>
              <w:t>KPI final</w:t>
            </w:r>
          </w:p>
        </w:tc>
        <w:tc>
          <w:tcPr>
            <w:tcW w:type="dxa" w:w="2324"/>
            <w:shd w:val="clear" w:color="auto" w:fill="155A53"/>
          </w:tcPr>
          <w:p>
            <w:r/>
            <w:r>
              <w:rPr>
                <w:b/>
                <w:color w:val="FFFFFF"/>
                <w:sz w:val="19"/>
              </w:rPr>
              <w:t>Valeur</w:t>
            </w:r>
          </w:p>
        </w:tc>
        <w:tc>
          <w:tcPr>
            <w:tcW w:type="dxa" w:w="2608"/>
            <w:shd w:val="clear" w:color="auto" w:fill="155A53"/>
          </w:tcPr>
          <w:p>
            <w:r/>
            <w:r>
              <w:rPr>
                <w:b/>
                <w:color w:val="FFFFFF"/>
                <w:sz w:val="19"/>
              </w:rPr>
              <w:t>Question business</w:t>
            </w:r>
          </w:p>
        </w:tc>
        <w:tc>
          <w:tcPr>
            <w:tcW w:type="dxa" w:w="2041"/>
            <w:shd w:val="clear" w:color="auto" w:fill="155A53"/>
          </w:tcPr>
          <w:p>
            <w:r/>
            <w:r>
              <w:rPr>
                <w:b/>
                <w:color w:val="FFFFFF"/>
                <w:sz w:val="19"/>
              </w:rPr>
              <w:t>Statut</w:t>
            </w:r>
          </w:p>
        </w:tc>
      </w:tr>
      <w:tr>
        <w:trPr>
          <w:cantSplit/>
        </w:trPr>
        <w:tc>
          <w:tcPr>
            <w:tcW w:type="dxa" w:w="2438"/>
          </w:tcPr>
          <w:p>
            <w:pPr>
              <w:spacing w:after="20"/>
            </w:pPr>
            <w:r/>
            <w:r>
              <w:rPr>
                <w:b/>
                <w:sz w:val="19"/>
              </w:rPr>
              <w:t>Taux de no-show global</w:t>
            </w:r>
          </w:p>
        </w:tc>
        <w:tc>
          <w:tcPr>
            <w:tcW w:type="dxa" w:w="2324"/>
          </w:tcPr>
          <w:p>
            <w:pPr>
              <w:spacing w:after="20"/>
            </w:pPr>
            <w:r/>
            <w:r>
              <w:rPr>
                <w:sz w:val="19"/>
              </w:rPr>
              <w:t>48,46% (tous RDV)</w:t>
            </w:r>
          </w:p>
          <w:p>
            <w:pPr>
              <w:spacing w:after="20"/>
            </w:pPr>
            <w:r>
              <w:rPr>
                <w:sz w:val="19"/>
              </w:rPr>
              <w:t>51,15% (hors annulations)</w:t>
            </w:r>
          </w:p>
        </w:tc>
        <w:tc>
          <w:tcPr>
            <w:tcW w:type="dxa" w:w="2608"/>
          </w:tcPr>
          <w:p>
            <w:pPr>
              <w:spacing w:after="20"/>
            </w:pPr>
            <w:r/>
            <w:r>
              <w:rPr>
                <w:sz w:val="19"/>
              </w:rPr>
              <w:t>Quelle est l'ampleur du problème ?</w:t>
            </w:r>
          </w:p>
        </w:tc>
        <w:tc>
          <w:tcPr>
            <w:tcW w:type="dxa" w:w="2041"/>
          </w:tcPr>
          <w:p>
            <w:pPr>
              <w:spacing w:after="20"/>
            </w:pPr>
            <w:r/>
            <w:r>
              <w:rPr>
                <w:sz w:val="19"/>
              </w:rPr>
              <w:t>Validé S5-S8</w:t>
            </w:r>
          </w:p>
        </w:tc>
      </w:tr>
      <w:tr>
        <w:trPr>
          <w:cantSplit/>
        </w:trPr>
        <w:tc>
          <w:tcPr>
            <w:tcW w:type="dxa" w:w="2438"/>
            <w:shd w:val="clear" w:color="auto" w:fill="EEF7F6"/>
          </w:tcPr>
          <w:p>
            <w:pPr>
              <w:spacing w:after="20"/>
            </w:pPr>
            <w:r/>
            <w:r>
              <w:rPr>
                <w:b/>
                <w:sz w:val="19"/>
              </w:rPr>
              <w:t>No-show par délai de réservation</w:t>
            </w:r>
          </w:p>
        </w:tc>
        <w:tc>
          <w:tcPr>
            <w:tcW w:type="dxa" w:w="2324"/>
            <w:shd w:val="clear" w:color="auto" w:fill="EEF7F6"/>
          </w:tcPr>
          <w:p>
            <w:pPr>
              <w:spacing w:after="20"/>
            </w:pPr>
            <w:r/>
            <w:r>
              <w:rPr>
                <w:sz w:val="19"/>
              </w:rPr>
              <w:t>29,5% → 71,4%</w:t>
            </w:r>
          </w:p>
        </w:tc>
        <w:tc>
          <w:tcPr>
            <w:tcW w:type="dxa" w:w="2608"/>
            <w:shd w:val="clear" w:color="auto" w:fill="EEF7F6"/>
          </w:tcPr>
          <w:p>
            <w:pPr>
              <w:spacing w:after="20"/>
            </w:pPr>
            <w:r/>
            <w:r>
              <w:rPr>
                <w:sz w:val="19"/>
              </w:rPr>
              <w:t>Le délai augmente-t-il le risque ?</w:t>
            </w:r>
          </w:p>
        </w:tc>
        <w:tc>
          <w:tcPr>
            <w:tcW w:type="dxa" w:w="2041"/>
            <w:shd w:val="clear" w:color="auto" w:fill="EEF7F6"/>
          </w:tcPr>
          <w:p>
            <w:pPr>
              <w:spacing w:after="20"/>
            </w:pPr>
            <w:r/>
            <w:r>
              <w:rPr>
                <w:sz w:val="19"/>
              </w:rPr>
              <w:t>Validé, χ² p &lt; 0,0001</w:t>
            </w:r>
          </w:p>
        </w:tc>
      </w:tr>
      <w:tr>
        <w:trPr>
          <w:cantSplit/>
        </w:trPr>
        <w:tc>
          <w:tcPr>
            <w:tcW w:type="dxa" w:w="2438"/>
          </w:tcPr>
          <w:p>
            <w:pPr>
              <w:spacing w:after="20"/>
            </w:pPr>
            <w:r/>
            <w:r>
              <w:rPr>
                <w:b/>
                <w:sz w:val="19"/>
              </w:rPr>
              <w:t>No-show par historique patient</w:t>
            </w:r>
          </w:p>
        </w:tc>
        <w:tc>
          <w:tcPr>
            <w:tcW w:type="dxa" w:w="2324"/>
          </w:tcPr>
          <w:p>
            <w:pPr>
              <w:spacing w:after="20"/>
            </w:pPr>
            <w:r/>
            <w:r>
              <w:rPr>
                <w:sz w:val="19"/>
              </w:rPr>
              <w:t>46,3% → 70,3%</w:t>
            </w:r>
          </w:p>
        </w:tc>
        <w:tc>
          <w:tcPr>
            <w:tcW w:type="dxa" w:w="2608"/>
          </w:tcPr>
          <w:p>
            <w:pPr>
              <w:spacing w:after="20"/>
            </w:pPr>
            <w:r/>
            <w:r>
              <w:rPr>
                <w:sz w:val="19"/>
              </w:rPr>
              <w:t>Le passé prédit-il le futur ?</w:t>
            </w:r>
          </w:p>
        </w:tc>
        <w:tc>
          <w:tcPr>
            <w:tcW w:type="dxa" w:w="2041"/>
          </w:tcPr>
          <w:p>
            <w:pPr>
              <w:spacing w:after="20"/>
            </w:pPr>
            <w:r/>
            <w:r>
              <w:rPr>
                <w:sz w:val="19"/>
              </w:rPr>
              <w:t>Validé, χ² p &lt; 0,0001</w:t>
            </w:r>
          </w:p>
        </w:tc>
      </w:tr>
      <w:tr>
        <w:trPr>
          <w:cantSplit/>
        </w:trPr>
        <w:tc>
          <w:tcPr>
            <w:tcW w:type="dxa" w:w="2438"/>
            <w:shd w:val="clear" w:color="auto" w:fill="EEF7F6"/>
          </w:tcPr>
          <w:p>
            <w:pPr>
              <w:spacing w:after="20"/>
            </w:pPr>
            <w:r/>
            <w:r>
              <w:rPr>
                <w:b/>
                <w:sz w:val="19"/>
              </w:rPr>
              <w:t>No-show par canal de rappel</w:t>
            </w:r>
          </w:p>
        </w:tc>
        <w:tc>
          <w:tcPr>
            <w:tcW w:type="dxa" w:w="2324"/>
            <w:shd w:val="clear" w:color="auto" w:fill="EEF7F6"/>
          </w:tcPr>
          <w:p>
            <w:pPr>
              <w:spacing w:after="20"/>
            </w:pPr>
            <w:r/>
            <w:r>
              <w:rPr>
                <w:sz w:val="19"/>
              </w:rPr>
              <w:t>SMS 48,0% ; aucun rappel 54,6%</w:t>
            </w:r>
          </w:p>
        </w:tc>
        <w:tc>
          <w:tcPr>
            <w:tcW w:type="dxa" w:w="2608"/>
            <w:shd w:val="clear" w:color="auto" w:fill="EEF7F6"/>
          </w:tcPr>
          <w:p>
            <w:pPr>
              <w:spacing w:after="20"/>
            </w:pPr>
            <w:r/>
            <w:r>
              <w:rPr>
                <w:sz w:val="19"/>
              </w:rPr>
              <w:t>Le rappel et son canal comptent-ils ?</w:t>
            </w:r>
          </w:p>
        </w:tc>
        <w:tc>
          <w:tcPr>
            <w:tcW w:type="dxa" w:w="2041"/>
            <w:shd w:val="clear" w:color="auto" w:fill="EEF7F6"/>
          </w:tcPr>
          <w:p>
            <w:pPr>
              <w:spacing w:after="20"/>
            </w:pPr>
            <w:r/>
            <w:r>
              <w:rPr>
                <w:sz w:val="19"/>
              </w:rPr>
              <w:t>Validé, χ² p = 0,0019 (effet modeste)</w:t>
            </w:r>
          </w:p>
        </w:tc>
      </w:tr>
      <w:tr>
        <w:trPr>
          <w:cantSplit/>
        </w:trPr>
        <w:tc>
          <w:tcPr>
            <w:tcW w:type="dxa" w:w="2438"/>
          </w:tcPr>
          <w:p>
            <w:pPr>
              <w:spacing w:after="20"/>
            </w:pPr>
            <w:r/>
            <w:r>
              <w:rPr>
                <w:b/>
                <w:sz w:val="19"/>
              </w:rPr>
              <w:t>No-show segment High Risk</w:t>
            </w:r>
          </w:p>
        </w:tc>
        <w:tc>
          <w:tcPr>
            <w:tcW w:type="dxa" w:w="2324"/>
          </w:tcPr>
          <w:p>
            <w:pPr>
              <w:spacing w:after="20"/>
            </w:pPr>
            <w:r/>
            <w:r>
              <w:rPr>
                <w:sz w:val="19"/>
              </w:rPr>
              <w:t>70,5% (20,6% des RDV)</w:t>
            </w:r>
          </w:p>
        </w:tc>
        <w:tc>
          <w:tcPr>
            <w:tcW w:type="dxa" w:w="2608"/>
          </w:tcPr>
          <w:p>
            <w:pPr>
              <w:spacing w:after="20"/>
            </w:pPr>
            <w:r/>
            <w:r>
              <w:rPr>
                <w:sz w:val="19"/>
              </w:rPr>
              <w:t>Qui cibler en priorité ?</w:t>
            </w:r>
          </w:p>
        </w:tc>
        <w:tc>
          <w:tcPr>
            <w:tcW w:type="dxa" w:w="2041"/>
          </w:tcPr>
          <w:p>
            <w:pPr>
              <w:spacing w:after="20"/>
            </w:pPr>
            <w:r/>
            <w:r>
              <w:rPr>
                <w:sz w:val="19"/>
              </w:rPr>
              <w:t>Validé S6-S8</w:t>
            </w:r>
          </w:p>
        </w:tc>
      </w:tr>
      <w:tr>
        <w:trPr>
          <w:cantSplit/>
        </w:trPr>
        <w:tc>
          <w:tcPr>
            <w:tcW w:type="dxa" w:w="2438"/>
            <w:shd w:val="clear" w:color="auto" w:fill="EEF7F6"/>
          </w:tcPr>
          <w:p>
            <w:pPr>
              <w:spacing w:after="20"/>
            </w:pPr>
            <w:r/>
            <w:r>
              <w:rPr>
                <w:b/>
                <w:sz w:val="19"/>
              </w:rPr>
              <w:t>Rappel (recall) du modèle final</w:t>
            </w:r>
          </w:p>
        </w:tc>
        <w:tc>
          <w:tcPr>
            <w:tcW w:type="dxa" w:w="2324"/>
            <w:shd w:val="clear" w:color="auto" w:fill="EEF7F6"/>
          </w:tcPr>
          <w:p>
            <w:pPr>
              <w:spacing w:after="20"/>
            </w:pPr>
            <w:r/>
            <w:r>
              <w:rPr>
                <w:sz w:val="19"/>
              </w:rPr>
              <w:t>0,817 (CV 5-fold, seuil 0,40)</w:t>
            </w:r>
          </w:p>
        </w:tc>
        <w:tc>
          <w:tcPr>
            <w:tcW w:type="dxa" w:w="2608"/>
            <w:shd w:val="clear" w:color="auto" w:fill="EEF7F6"/>
          </w:tcPr>
          <w:p>
            <w:pPr>
              <w:spacing w:after="20"/>
            </w:pPr>
            <w:r/>
            <w:r>
              <w:rPr>
                <w:sz w:val="19"/>
              </w:rPr>
              <w:t>Quelle part des no-shows peut-on anticiper ?</w:t>
            </w:r>
          </w:p>
        </w:tc>
        <w:tc>
          <w:tcPr>
            <w:tcW w:type="dxa" w:w="2041"/>
            <w:shd w:val="clear" w:color="auto" w:fill="EEF7F6"/>
          </w:tcPr>
          <w:p>
            <w:pPr>
              <w:spacing w:after="20"/>
            </w:pPr>
            <w:r/>
            <w:r>
              <w:rPr>
                <w:sz w:val="19"/>
              </w:rPr>
              <w:t>Validé S8 (CV)</w:t>
            </w:r>
          </w:p>
        </w:tc>
      </w:tr>
    </w:tbl>
    <w:p>
      <w:pPr>
        <w:spacing w:after="40"/>
      </w:pPr>
    </w:p>
    <w:p>
      <w:pPr>
        <w:pStyle w:val="Heading2"/>
      </w:pPr>
      <w:r>
        <w:t>Segmentation de risque finale</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2494"/>
            <w:shd w:val="clear" w:color="auto" w:fill="155A53"/>
          </w:tcPr>
          <w:p>
            <w:r/>
            <w:r>
              <w:rPr>
                <w:b/>
                <w:color w:val="FFFFFF"/>
                <w:sz w:val="19"/>
              </w:rPr>
              <w:t>Segment</w:t>
            </w:r>
          </w:p>
        </w:tc>
        <w:tc>
          <w:tcPr>
            <w:tcW w:type="dxa" w:w="3288"/>
            <w:shd w:val="clear" w:color="auto" w:fill="155A53"/>
          </w:tcPr>
          <w:p>
            <w:r/>
            <w:r>
              <w:rPr>
                <w:b/>
                <w:color w:val="FFFFFF"/>
                <w:sz w:val="19"/>
              </w:rPr>
              <w:t>Définition</w:t>
            </w:r>
          </w:p>
        </w:tc>
        <w:tc>
          <w:tcPr>
            <w:tcW w:type="dxa" w:w="1020"/>
            <w:shd w:val="clear" w:color="auto" w:fill="155A53"/>
          </w:tcPr>
          <w:p>
            <w:r/>
            <w:r>
              <w:rPr>
                <w:b/>
                <w:color w:val="FFFFFF"/>
                <w:sz w:val="19"/>
              </w:rPr>
              <w:t>RDV</w:t>
            </w:r>
          </w:p>
        </w:tc>
        <w:tc>
          <w:tcPr>
            <w:tcW w:type="dxa" w:w="1020"/>
            <w:shd w:val="clear" w:color="auto" w:fill="155A53"/>
          </w:tcPr>
          <w:p>
            <w:r/>
            <w:r>
              <w:rPr>
                <w:b/>
                <w:color w:val="FFFFFF"/>
                <w:sz w:val="19"/>
              </w:rPr>
              <w:t>Part</w:t>
            </w:r>
          </w:p>
        </w:tc>
        <w:tc>
          <w:tcPr>
            <w:tcW w:type="dxa" w:w="1587"/>
            <w:shd w:val="clear" w:color="auto" w:fill="155A53"/>
          </w:tcPr>
          <w:p>
            <w:r/>
            <w:r>
              <w:rPr>
                <w:b/>
                <w:color w:val="FFFFFF"/>
                <w:sz w:val="19"/>
              </w:rPr>
              <w:t>Taux de no-show</w:t>
            </w:r>
          </w:p>
        </w:tc>
      </w:tr>
      <w:tr>
        <w:trPr>
          <w:cantSplit/>
        </w:trPr>
        <w:tc>
          <w:tcPr>
            <w:tcW w:type="dxa" w:w="2494"/>
          </w:tcPr>
          <w:p>
            <w:pPr>
              <w:spacing w:after="20"/>
            </w:pPr>
            <w:r/>
            <w:r>
              <w:rPr>
                <w:b/>
                <w:sz w:val="19"/>
              </w:rPr>
              <w:t>Low Risk</w:t>
            </w:r>
          </w:p>
        </w:tc>
        <w:tc>
          <w:tcPr>
            <w:tcW w:type="dxa" w:w="3288"/>
          </w:tcPr>
          <w:p>
            <w:pPr>
              <w:spacing w:after="20"/>
            </w:pPr>
            <w:r/>
            <w:r>
              <w:rPr>
                <w:sz w:val="19"/>
              </w:rPr>
              <w:t>Délai ≤ 30 j, aucun no-show précédent</w:t>
            </w:r>
          </w:p>
        </w:tc>
        <w:tc>
          <w:tcPr>
            <w:tcW w:type="dxa" w:w="1020"/>
          </w:tcPr>
          <w:p>
            <w:pPr>
              <w:spacing w:after="20"/>
            </w:pPr>
            <w:r/>
            <w:r>
              <w:rPr>
                <w:sz w:val="19"/>
              </w:rPr>
              <w:t>1 428</w:t>
            </w:r>
          </w:p>
        </w:tc>
        <w:tc>
          <w:tcPr>
            <w:tcW w:type="dxa" w:w="1020"/>
          </w:tcPr>
          <w:p>
            <w:pPr>
              <w:spacing w:after="20"/>
            </w:pPr>
            <w:r/>
            <w:r>
              <w:rPr>
                <w:sz w:val="19"/>
              </w:rPr>
              <w:t>30,1%</w:t>
            </w:r>
          </w:p>
        </w:tc>
        <w:tc>
          <w:tcPr>
            <w:tcW w:type="dxa" w:w="1587"/>
          </w:tcPr>
          <w:p>
            <w:pPr>
              <w:spacing w:after="20"/>
            </w:pPr>
            <w:r/>
            <w:r>
              <w:rPr>
                <w:sz w:val="19"/>
              </w:rPr>
              <w:t>34,5%</w:t>
            </w:r>
          </w:p>
        </w:tc>
      </w:tr>
      <w:tr>
        <w:trPr>
          <w:cantSplit/>
        </w:trPr>
        <w:tc>
          <w:tcPr>
            <w:tcW w:type="dxa" w:w="2494"/>
            <w:shd w:val="clear" w:color="auto" w:fill="EEF7F6"/>
          </w:tcPr>
          <w:p>
            <w:pPr>
              <w:spacing w:after="20"/>
            </w:pPr>
            <w:r/>
            <w:r>
              <w:rPr>
                <w:b/>
                <w:sz w:val="19"/>
              </w:rPr>
              <w:t>Medium Risk (history only)</w:t>
            </w:r>
          </w:p>
        </w:tc>
        <w:tc>
          <w:tcPr>
            <w:tcW w:type="dxa" w:w="3288"/>
            <w:shd w:val="clear" w:color="auto" w:fill="EEF7F6"/>
          </w:tcPr>
          <w:p>
            <w:pPr>
              <w:spacing w:after="20"/>
            </w:pPr>
            <w:r/>
            <w:r>
              <w:rPr>
                <w:sz w:val="19"/>
              </w:rPr>
              <w:t>Délai ≤ 30 j, ≥ 1 no-show précédent</w:t>
            </w:r>
          </w:p>
        </w:tc>
        <w:tc>
          <w:tcPr>
            <w:tcW w:type="dxa" w:w="1020"/>
            <w:shd w:val="clear" w:color="auto" w:fill="EEF7F6"/>
          </w:tcPr>
          <w:p>
            <w:pPr>
              <w:spacing w:after="20"/>
            </w:pPr>
            <w:r/>
            <w:r>
              <w:rPr>
                <w:sz w:val="19"/>
              </w:rPr>
              <w:t>1 015</w:t>
            </w:r>
          </w:p>
        </w:tc>
        <w:tc>
          <w:tcPr>
            <w:tcW w:type="dxa" w:w="1020"/>
            <w:shd w:val="clear" w:color="auto" w:fill="EEF7F6"/>
          </w:tcPr>
          <w:p>
            <w:pPr>
              <w:spacing w:after="20"/>
            </w:pPr>
            <w:r/>
            <w:r>
              <w:rPr>
                <w:sz w:val="19"/>
              </w:rPr>
              <w:t>21,4%</w:t>
            </w:r>
          </w:p>
        </w:tc>
        <w:tc>
          <w:tcPr>
            <w:tcW w:type="dxa" w:w="1587"/>
            <w:shd w:val="clear" w:color="auto" w:fill="EEF7F6"/>
          </w:tcPr>
          <w:p>
            <w:pPr>
              <w:spacing w:after="20"/>
            </w:pPr>
            <w:r/>
            <w:r>
              <w:rPr>
                <w:sz w:val="19"/>
              </w:rPr>
              <w:t>45,6%</w:t>
            </w:r>
          </w:p>
        </w:tc>
      </w:tr>
      <w:tr>
        <w:trPr>
          <w:cantSplit/>
        </w:trPr>
        <w:tc>
          <w:tcPr>
            <w:tcW w:type="dxa" w:w="2494"/>
          </w:tcPr>
          <w:p>
            <w:pPr>
              <w:spacing w:after="20"/>
            </w:pPr>
            <w:r/>
            <w:r>
              <w:rPr>
                <w:b/>
                <w:sz w:val="19"/>
              </w:rPr>
              <w:t>Medium Risk (lead only)</w:t>
            </w:r>
          </w:p>
        </w:tc>
        <w:tc>
          <w:tcPr>
            <w:tcW w:type="dxa" w:w="3288"/>
          </w:tcPr>
          <w:p>
            <w:pPr>
              <w:spacing w:after="20"/>
            </w:pPr>
            <w:r/>
            <w:r>
              <w:rPr>
                <w:sz w:val="19"/>
              </w:rPr>
              <w:t>Délai &gt; 30 j, aucun no-show précédent</w:t>
            </w:r>
          </w:p>
        </w:tc>
        <w:tc>
          <w:tcPr>
            <w:tcW w:type="dxa" w:w="1020"/>
          </w:tcPr>
          <w:p>
            <w:pPr>
              <w:spacing w:after="20"/>
            </w:pPr>
            <w:r/>
            <w:r>
              <w:rPr>
                <w:sz w:val="19"/>
              </w:rPr>
              <w:t>1 317</w:t>
            </w:r>
          </w:p>
        </w:tc>
        <w:tc>
          <w:tcPr>
            <w:tcW w:type="dxa" w:w="1020"/>
          </w:tcPr>
          <w:p>
            <w:pPr>
              <w:spacing w:after="20"/>
            </w:pPr>
            <w:r/>
            <w:r>
              <w:rPr>
                <w:sz w:val="19"/>
              </w:rPr>
              <w:t>27,8%</w:t>
            </w:r>
          </w:p>
        </w:tc>
        <w:tc>
          <w:tcPr>
            <w:tcW w:type="dxa" w:w="1587"/>
          </w:tcPr>
          <w:p>
            <w:pPr>
              <w:spacing w:after="20"/>
            </w:pPr>
            <w:r/>
            <w:r>
              <w:rPr>
                <w:sz w:val="19"/>
              </w:rPr>
              <w:t>59,1%</w:t>
            </w:r>
          </w:p>
        </w:tc>
      </w:tr>
      <w:tr>
        <w:trPr>
          <w:cantSplit/>
        </w:trPr>
        <w:tc>
          <w:tcPr>
            <w:tcW w:type="dxa" w:w="2494"/>
            <w:shd w:val="clear" w:color="auto" w:fill="EEF7F6"/>
          </w:tcPr>
          <w:p>
            <w:pPr>
              <w:spacing w:after="20"/>
            </w:pPr>
            <w:r/>
            <w:r>
              <w:rPr>
                <w:b/>
                <w:sz w:val="19"/>
              </w:rPr>
              <w:t>High Risk</w:t>
            </w:r>
          </w:p>
        </w:tc>
        <w:tc>
          <w:tcPr>
            <w:tcW w:type="dxa" w:w="3288"/>
            <w:shd w:val="clear" w:color="auto" w:fill="EEF7F6"/>
          </w:tcPr>
          <w:p>
            <w:pPr>
              <w:spacing w:after="20"/>
            </w:pPr>
            <w:r/>
            <w:r>
              <w:rPr>
                <w:sz w:val="19"/>
              </w:rPr>
              <w:t>Délai &gt; 30 j, ≥ 1 no-show précédent</w:t>
            </w:r>
          </w:p>
        </w:tc>
        <w:tc>
          <w:tcPr>
            <w:tcW w:type="dxa" w:w="1020"/>
            <w:shd w:val="clear" w:color="auto" w:fill="EEF7F6"/>
          </w:tcPr>
          <w:p>
            <w:pPr>
              <w:spacing w:after="20"/>
            </w:pPr>
            <w:r/>
            <w:r>
              <w:rPr>
                <w:sz w:val="19"/>
              </w:rPr>
              <w:t>977</w:t>
            </w:r>
          </w:p>
        </w:tc>
        <w:tc>
          <w:tcPr>
            <w:tcW w:type="dxa" w:w="1020"/>
            <w:shd w:val="clear" w:color="auto" w:fill="EEF7F6"/>
          </w:tcPr>
          <w:p>
            <w:pPr>
              <w:spacing w:after="20"/>
            </w:pPr>
            <w:r/>
            <w:r>
              <w:rPr>
                <w:sz w:val="19"/>
              </w:rPr>
              <w:t>20,6%</w:t>
            </w:r>
          </w:p>
        </w:tc>
        <w:tc>
          <w:tcPr>
            <w:tcW w:type="dxa" w:w="1587"/>
            <w:shd w:val="clear" w:color="auto" w:fill="EEF7F6"/>
          </w:tcPr>
          <w:p>
            <w:pPr>
              <w:spacing w:after="20"/>
            </w:pPr>
            <w:r/>
            <w:r>
              <w:rPr>
                <w:sz w:val="19"/>
              </w:rPr>
              <w:t>70,5%</w:t>
            </w:r>
          </w:p>
        </w:tc>
      </w:tr>
    </w:tbl>
    <w:p>
      <w:pPr>
        <w:spacing w:after="40"/>
      </w:pPr>
    </w:p>
    <w:p>
      <w:pPr>
        <w:pStyle w:val="Heading1"/>
      </w:pPr>
      <w:r>
        <w:t>4. Validation des Chiffres du Tableau de Bord</w:t>
      </w:r>
    </w:p>
    <w:p>
      <w:r>
        <w:rPr>
          <w:i w:val="0"/>
        </w:rPr>
        <w:t>Avant la présentation finale, chaque chiffre affiché sur le tableau de bord a été soumis à trois contrôles.</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2353"/>
        <w:gridCol w:w="2353"/>
        <w:gridCol w:w="2353"/>
        <w:gridCol w:w="2353"/>
      </w:tblGrid>
      <w:tr>
        <w:trPr>
          <w:tblHeader w:val="true"/>
          <w:cantSplit/>
        </w:trPr>
        <w:tc>
          <w:tcPr>
            <w:tcW w:type="dxa" w:w="2381"/>
            <w:shd w:val="clear" w:color="auto" w:fill="155A53"/>
          </w:tcPr>
          <w:p>
            <w:r/>
            <w:r>
              <w:rPr>
                <w:b/>
                <w:color w:val="FFFFFF"/>
                <w:sz w:val="19"/>
              </w:rPr>
              <w:t>Contrôle</w:t>
            </w:r>
          </w:p>
        </w:tc>
        <w:tc>
          <w:tcPr>
            <w:tcW w:type="dxa" w:w="3175"/>
            <w:shd w:val="clear" w:color="auto" w:fill="155A53"/>
          </w:tcPr>
          <w:p>
            <w:r/>
            <w:r>
              <w:rPr>
                <w:b/>
                <w:color w:val="FFFFFF"/>
                <w:sz w:val="19"/>
              </w:rPr>
              <w:t>Résultat</w:t>
            </w:r>
          </w:p>
        </w:tc>
        <w:tc>
          <w:tcPr>
            <w:tcW w:type="dxa" w:w="907"/>
            <w:shd w:val="clear" w:color="auto" w:fill="155A53"/>
          </w:tcPr>
          <w:p>
            <w:r/>
            <w:r>
              <w:rPr>
                <w:b/>
                <w:color w:val="FFFFFF"/>
                <w:sz w:val="19"/>
              </w:rPr>
              <w:t>Statut</w:t>
            </w:r>
          </w:p>
        </w:tc>
        <w:tc>
          <w:tcPr>
            <w:tcW w:type="dxa" w:w="2948"/>
            <w:shd w:val="clear" w:color="auto" w:fill="155A53"/>
          </w:tcPr>
          <w:p>
            <w:r/>
            <w:r>
              <w:rPr>
                <w:b/>
                <w:color w:val="FFFFFF"/>
                <w:sz w:val="19"/>
              </w:rPr>
              <w:t>Action</w:t>
            </w:r>
          </w:p>
        </w:tc>
      </w:tr>
      <w:tr>
        <w:trPr>
          <w:cantSplit/>
        </w:trPr>
        <w:tc>
          <w:tcPr>
            <w:tcW w:type="dxa" w:w="2381"/>
          </w:tcPr>
          <w:p>
            <w:pPr>
              <w:spacing w:after="20"/>
            </w:pPr>
            <w:r/>
            <w:r>
              <w:rPr>
                <w:b/>
                <w:sz w:val="19"/>
              </w:rPr>
              <w:t>Recalcul indépendant de tous les KPIs affichés</w:t>
            </w:r>
          </w:p>
        </w:tc>
        <w:tc>
          <w:tcPr>
            <w:tcW w:type="dxa" w:w="3175"/>
          </w:tcPr>
          <w:p>
            <w:pPr>
              <w:spacing w:after="20"/>
            </w:pPr>
            <w:r/>
            <w:r>
              <w:rPr>
                <w:sz w:val="19"/>
              </w:rPr>
              <w:t>Correspondance exacte avec les valeurs publiées en S5-S7</w:t>
            </w:r>
          </w:p>
        </w:tc>
        <w:tc>
          <w:tcPr>
            <w:tcW w:type="dxa" w:w="907"/>
          </w:tcPr>
          <w:p>
            <w:pPr>
              <w:spacing w:after="20"/>
            </w:pPr>
            <w:r/>
            <w:r>
              <w:rPr>
                <w:sz w:val="19"/>
              </w:rPr>
              <w:t>PASS</w:t>
            </w:r>
          </w:p>
        </w:tc>
        <w:tc>
          <w:tcPr>
            <w:tcW w:type="dxa" w:w="2948"/>
          </w:tcPr>
          <w:p>
            <w:pPr>
              <w:spacing w:after="20"/>
            </w:pPr>
            <w:r/>
            <w:r>
              <w:rPr>
                <w:sz w:val="19"/>
              </w:rPr>
              <w:t>Aucune</w:t>
            </w:r>
          </w:p>
        </w:tc>
      </w:tr>
      <w:tr>
        <w:trPr>
          <w:cantSplit/>
        </w:trPr>
        <w:tc>
          <w:tcPr>
            <w:tcW w:type="dxa" w:w="2381"/>
            <w:shd w:val="clear" w:color="auto" w:fill="EEF7F6"/>
          </w:tcPr>
          <w:p>
            <w:pPr>
              <w:spacing w:after="20"/>
            </w:pPr>
            <w:r/>
            <w:r>
              <w:rPr>
                <w:b/>
                <w:sz w:val="19"/>
              </w:rPr>
              <w:t>Définition de chaque libellé de pourcentage</w:t>
            </w:r>
          </w:p>
        </w:tc>
        <w:tc>
          <w:tcPr>
            <w:tcW w:type="dxa" w:w="3175"/>
            <w:shd w:val="clear" w:color="auto" w:fill="EEF7F6"/>
          </w:tcPr>
          <w:p>
            <w:pPr>
              <w:spacing w:after="20"/>
            </w:pPr>
            <w:r/>
            <w:r>
              <w:rPr>
                <w:sz w:val="19"/>
              </w:rPr>
              <w:t>Le « 34,3 % » (S7) utilisait comme dénominateur tous les RDV du segment, alors qu'il était décrit comme une part des vrais no-shows</w:t>
            </w:r>
          </w:p>
        </w:tc>
        <w:tc>
          <w:tcPr>
            <w:tcW w:type="dxa" w:w="907"/>
            <w:shd w:val="clear" w:color="auto" w:fill="EEF7F6"/>
          </w:tcPr>
          <w:p>
            <w:pPr>
              <w:spacing w:after="20"/>
            </w:pPr>
            <w:r/>
            <w:r>
              <w:rPr>
                <w:sz w:val="19"/>
              </w:rPr>
              <w:t>Corrigé</w:t>
            </w:r>
          </w:p>
        </w:tc>
        <w:tc>
          <w:tcPr>
            <w:tcW w:type="dxa" w:w="2948"/>
            <w:shd w:val="clear" w:color="auto" w:fill="EEF7F6"/>
          </w:tcPr>
          <w:p>
            <w:pPr>
              <w:spacing w:after="20"/>
            </w:pPr>
            <w:r/>
            <w:r>
              <w:rPr>
                <w:sz w:val="19"/>
              </w:rPr>
              <w:t>Les deux mesures sont désormais calculées ; le tableau de bord affiche la part des vrais no-shows manqués, libellée explicitement</w:t>
            </w:r>
          </w:p>
        </w:tc>
      </w:tr>
      <w:tr>
        <w:trPr>
          <w:cantSplit/>
        </w:trPr>
        <w:tc>
          <w:tcPr>
            <w:tcW w:type="dxa" w:w="2381"/>
          </w:tcPr>
          <w:p>
            <w:pPr>
              <w:spacing w:after="20"/>
            </w:pPr>
            <w:r/>
            <w:r>
              <w:rPr>
                <w:b/>
                <w:sz w:val="19"/>
              </w:rPr>
              <w:t>Stabilité du seuil 0,40 (point ouvert S7)</w:t>
            </w:r>
          </w:p>
        </w:tc>
        <w:tc>
          <w:tcPr>
            <w:tcW w:type="dxa" w:w="3175"/>
          </w:tcPr>
          <w:p>
            <w:pPr>
              <w:spacing w:after="20"/>
            </w:pPr>
            <w:r/>
            <w:r>
              <w:rPr>
                <w:sz w:val="19"/>
              </w:rPr>
              <w:t>Validation croisée 5-fold : gain de F1 et de rappel confirmé sur les 5 plis</w:t>
            </w:r>
          </w:p>
        </w:tc>
        <w:tc>
          <w:tcPr>
            <w:tcW w:type="dxa" w:w="907"/>
          </w:tcPr>
          <w:p>
            <w:pPr>
              <w:spacing w:after="20"/>
            </w:pPr>
            <w:r/>
            <w:r>
              <w:rPr>
                <w:sz w:val="19"/>
              </w:rPr>
              <w:t>PASS</w:t>
            </w:r>
          </w:p>
        </w:tc>
        <w:tc>
          <w:tcPr>
            <w:tcW w:type="dxa" w:w="2948"/>
          </w:tcPr>
          <w:p>
            <w:pPr>
              <w:spacing w:after="20"/>
            </w:pPr>
            <w:r/>
            <w:r>
              <w:rPr>
                <w:sz w:val="19"/>
              </w:rPr>
              <w:t>Seuil 0,40 confirmé comme seuil final</w:t>
            </w:r>
          </w:p>
        </w:tc>
      </w:tr>
      <w:tr>
        <w:trPr>
          <w:cantSplit/>
        </w:trPr>
        <w:tc>
          <w:tcPr>
            <w:tcW w:type="dxa" w:w="2381"/>
            <w:shd w:val="clear" w:color="auto" w:fill="EEF7F6"/>
          </w:tcPr>
          <w:p>
            <w:pPr>
              <w:spacing w:after="20"/>
            </w:pPr>
            <w:r/>
            <w:r>
              <w:rPr>
                <w:b/>
                <w:sz w:val="19"/>
              </w:rPr>
              <w:t>Reproductibilité des scripts</w:t>
            </w:r>
          </w:p>
        </w:tc>
        <w:tc>
          <w:tcPr>
            <w:tcW w:type="dxa" w:w="3175"/>
            <w:shd w:val="clear" w:color="auto" w:fill="EEF7F6"/>
          </w:tcPr>
          <w:p>
            <w:pPr>
              <w:spacing w:after="20"/>
            </w:pPr>
            <w:r/>
            <w:r>
              <w:rPr>
                <w:sz w:val="19"/>
              </w:rPr>
              <w:t>Les scripts S6-S7 pointaient vers un chemin absolu inexistant dans le dépôt</w:t>
            </w:r>
          </w:p>
        </w:tc>
        <w:tc>
          <w:tcPr>
            <w:tcW w:type="dxa" w:w="907"/>
            <w:shd w:val="clear" w:color="auto" w:fill="EEF7F6"/>
          </w:tcPr>
          <w:p>
            <w:pPr>
              <w:spacing w:after="20"/>
            </w:pPr>
            <w:r/>
            <w:r>
              <w:rPr>
                <w:sz w:val="19"/>
              </w:rPr>
              <w:t>Corrigé</w:t>
            </w:r>
          </w:p>
        </w:tc>
        <w:tc>
          <w:tcPr>
            <w:tcW w:type="dxa" w:w="2948"/>
            <w:shd w:val="clear" w:color="auto" w:fill="EEF7F6"/>
          </w:tcPr>
          <w:p>
            <w:pPr>
              <w:spacing w:after="20"/>
            </w:pPr>
            <w:r/>
            <w:r>
              <w:rPr>
                <w:sz w:val="19"/>
              </w:rPr>
              <w:t>Script S8 à chemins relatifs, régénère toutes les figures</w:t>
            </w:r>
          </w:p>
        </w:tc>
      </w:tr>
    </w:tbl>
    <w:p>
      <w:pPr>
        <w:spacing w:after="40"/>
      </w:pPr>
    </w:p>
    <w:p>
      <w:pPr>
        <w:pStyle w:val="Heading2"/>
      </w:pPr>
      <w:r>
        <w:t>Validation croisée du seuil final</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2353"/>
        <w:gridCol w:w="2353"/>
        <w:gridCol w:w="2353"/>
        <w:gridCol w:w="2353"/>
      </w:tblGrid>
      <w:tr>
        <w:trPr>
          <w:tblHeader w:val="true"/>
          <w:cantSplit/>
        </w:trPr>
        <w:tc>
          <w:tcPr>
            <w:tcW w:type="dxa" w:w="2948"/>
            <w:shd w:val="clear" w:color="auto" w:fill="155A53"/>
          </w:tcPr>
          <w:p>
            <w:r/>
            <w:r>
              <w:rPr>
                <w:b/>
                <w:color w:val="FFFFFF"/>
                <w:sz w:val="19"/>
              </w:rPr>
              <w:t>Métrique (CV 5-fold)</w:t>
            </w:r>
          </w:p>
        </w:tc>
        <w:tc>
          <w:tcPr>
            <w:tcW w:type="dxa" w:w="2154"/>
            <w:shd w:val="clear" w:color="auto" w:fill="155A53"/>
          </w:tcPr>
          <w:p>
            <w:r/>
            <w:r>
              <w:rPr>
                <w:b/>
                <w:color w:val="FFFFFF"/>
                <w:sz w:val="19"/>
              </w:rPr>
              <w:t>Seuil 0,50</w:t>
            </w:r>
          </w:p>
        </w:tc>
        <w:tc>
          <w:tcPr>
            <w:tcW w:type="dxa" w:w="2154"/>
            <w:shd w:val="clear" w:color="auto" w:fill="155A53"/>
          </w:tcPr>
          <w:p>
            <w:r/>
            <w:r>
              <w:rPr>
                <w:b/>
                <w:color w:val="FFFFFF"/>
                <w:sz w:val="19"/>
              </w:rPr>
              <w:t>Seuil 0,40 (final)</w:t>
            </w:r>
          </w:p>
        </w:tc>
        <w:tc>
          <w:tcPr>
            <w:tcW w:type="dxa" w:w="2154"/>
            <w:shd w:val="clear" w:color="auto" w:fill="155A53"/>
          </w:tcPr>
          <w:p>
            <w:r/>
            <w:r>
              <w:rPr>
                <w:b/>
                <w:color w:val="FFFFFF"/>
                <w:sz w:val="19"/>
              </w:rPr>
              <w:t>Écart</w:t>
            </w:r>
          </w:p>
        </w:tc>
      </w:tr>
      <w:tr>
        <w:trPr>
          <w:cantSplit/>
        </w:trPr>
        <w:tc>
          <w:tcPr>
            <w:tcW w:type="dxa" w:w="2948"/>
          </w:tcPr>
          <w:p>
            <w:pPr>
              <w:spacing w:after="20"/>
            </w:pPr>
            <w:r/>
            <w:r>
              <w:rPr>
                <w:b/>
                <w:sz w:val="19"/>
              </w:rPr>
              <w:t>Accuracy</w:t>
            </w:r>
          </w:p>
        </w:tc>
        <w:tc>
          <w:tcPr>
            <w:tcW w:type="dxa" w:w="2154"/>
          </w:tcPr>
          <w:p>
            <w:pPr>
              <w:spacing w:after="20"/>
            </w:pPr>
            <w:r/>
            <w:r>
              <w:rPr>
                <w:sz w:val="19"/>
              </w:rPr>
              <w:t>0,637 ± 0,012</w:t>
            </w:r>
          </w:p>
        </w:tc>
        <w:tc>
          <w:tcPr>
            <w:tcW w:type="dxa" w:w="2154"/>
          </w:tcPr>
          <w:p>
            <w:pPr>
              <w:spacing w:after="20"/>
            </w:pPr>
            <w:r/>
            <w:r>
              <w:rPr>
                <w:sz w:val="19"/>
              </w:rPr>
              <w:t>0,616 ± 0,010</w:t>
            </w:r>
          </w:p>
        </w:tc>
        <w:tc>
          <w:tcPr>
            <w:tcW w:type="dxa" w:w="2154"/>
          </w:tcPr>
          <w:p>
            <w:pPr>
              <w:spacing w:after="20"/>
            </w:pPr>
            <w:r/>
            <w:r>
              <w:rPr>
                <w:sz w:val="19"/>
              </w:rPr>
              <w:t>-0,021</w:t>
            </w:r>
          </w:p>
        </w:tc>
      </w:tr>
      <w:tr>
        <w:trPr>
          <w:cantSplit/>
        </w:trPr>
        <w:tc>
          <w:tcPr>
            <w:tcW w:type="dxa" w:w="2948"/>
            <w:shd w:val="clear" w:color="auto" w:fill="EEF7F6"/>
          </w:tcPr>
          <w:p>
            <w:pPr>
              <w:spacing w:after="20"/>
            </w:pPr>
            <w:r/>
            <w:r>
              <w:rPr>
                <w:b/>
                <w:sz w:val="19"/>
              </w:rPr>
              <w:t>Précision</w:t>
            </w:r>
          </w:p>
        </w:tc>
        <w:tc>
          <w:tcPr>
            <w:tcW w:type="dxa" w:w="2154"/>
            <w:shd w:val="clear" w:color="auto" w:fill="EEF7F6"/>
          </w:tcPr>
          <w:p>
            <w:pPr>
              <w:spacing w:after="20"/>
            </w:pPr>
            <w:r/>
            <w:r>
              <w:rPr>
                <w:sz w:val="19"/>
              </w:rPr>
              <w:t>0,640 ± 0,015</w:t>
            </w:r>
          </w:p>
        </w:tc>
        <w:tc>
          <w:tcPr>
            <w:tcW w:type="dxa" w:w="2154"/>
            <w:shd w:val="clear" w:color="auto" w:fill="EEF7F6"/>
          </w:tcPr>
          <w:p>
            <w:pPr>
              <w:spacing w:after="20"/>
            </w:pPr>
            <w:r/>
            <w:r>
              <w:rPr>
                <w:sz w:val="19"/>
              </w:rPr>
              <w:t>0,590 ± 0,007</w:t>
            </w:r>
          </w:p>
        </w:tc>
        <w:tc>
          <w:tcPr>
            <w:tcW w:type="dxa" w:w="2154"/>
            <w:shd w:val="clear" w:color="auto" w:fill="EEF7F6"/>
          </w:tcPr>
          <w:p>
            <w:pPr>
              <w:spacing w:after="20"/>
            </w:pPr>
            <w:r/>
            <w:r>
              <w:rPr>
                <w:sz w:val="19"/>
              </w:rPr>
              <w:t>-0,050</w:t>
            </w:r>
          </w:p>
        </w:tc>
      </w:tr>
      <w:tr>
        <w:trPr>
          <w:cantSplit/>
        </w:trPr>
        <w:tc>
          <w:tcPr>
            <w:tcW w:type="dxa" w:w="2948"/>
          </w:tcPr>
          <w:p>
            <w:pPr>
              <w:spacing w:after="20"/>
            </w:pPr>
            <w:r/>
            <w:r>
              <w:rPr>
                <w:b/>
                <w:sz w:val="19"/>
              </w:rPr>
              <w:t>Rappel (recall)</w:t>
            </w:r>
          </w:p>
        </w:tc>
        <w:tc>
          <w:tcPr>
            <w:tcW w:type="dxa" w:w="2154"/>
          </w:tcPr>
          <w:p>
            <w:pPr>
              <w:spacing w:after="20"/>
            </w:pPr>
            <w:r/>
            <w:r>
              <w:rPr>
                <w:sz w:val="19"/>
              </w:rPr>
              <w:t>0,662 ± 0,016</w:t>
            </w:r>
          </w:p>
        </w:tc>
        <w:tc>
          <w:tcPr>
            <w:tcW w:type="dxa" w:w="2154"/>
          </w:tcPr>
          <w:p>
            <w:pPr>
              <w:spacing w:after="20"/>
            </w:pPr>
            <w:r/>
            <w:r>
              <w:rPr>
                <w:sz w:val="19"/>
              </w:rPr>
              <w:t>0,817 ± 0,005</w:t>
            </w:r>
          </w:p>
        </w:tc>
        <w:tc>
          <w:tcPr>
            <w:tcW w:type="dxa" w:w="2154"/>
          </w:tcPr>
          <w:p>
            <w:pPr>
              <w:spacing w:after="20"/>
            </w:pPr>
            <w:r/>
            <w:r>
              <w:rPr>
                <w:sz w:val="19"/>
              </w:rPr>
              <w:t>+0,155</w:t>
            </w:r>
          </w:p>
        </w:tc>
      </w:tr>
      <w:tr>
        <w:trPr>
          <w:cantSplit/>
        </w:trPr>
        <w:tc>
          <w:tcPr>
            <w:tcW w:type="dxa" w:w="2948"/>
            <w:shd w:val="clear" w:color="auto" w:fill="EEF7F6"/>
          </w:tcPr>
          <w:p>
            <w:pPr>
              <w:spacing w:after="20"/>
            </w:pPr>
            <w:r/>
            <w:r>
              <w:rPr>
                <w:b/>
                <w:sz w:val="19"/>
              </w:rPr>
              <w:t>F1-score</w:t>
            </w:r>
          </w:p>
        </w:tc>
        <w:tc>
          <w:tcPr>
            <w:tcW w:type="dxa" w:w="2154"/>
            <w:shd w:val="clear" w:color="auto" w:fill="EEF7F6"/>
          </w:tcPr>
          <w:p>
            <w:pPr>
              <w:spacing w:after="20"/>
            </w:pPr>
            <w:r/>
            <w:r>
              <w:rPr>
                <w:sz w:val="19"/>
              </w:rPr>
              <w:t>0,651 ± 0,010</w:t>
            </w:r>
          </w:p>
        </w:tc>
        <w:tc>
          <w:tcPr>
            <w:tcW w:type="dxa" w:w="2154"/>
            <w:shd w:val="clear" w:color="auto" w:fill="EEF7F6"/>
          </w:tcPr>
          <w:p>
            <w:pPr>
              <w:spacing w:after="20"/>
            </w:pPr>
            <w:r/>
            <w:r>
              <w:rPr>
                <w:sz w:val="19"/>
              </w:rPr>
              <w:t>0,685 ± 0,006</w:t>
            </w:r>
          </w:p>
        </w:tc>
        <w:tc>
          <w:tcPr>
            <w:tcW w:type="dxa" w:w="2154"/>
            <w:shd w:val="clear" w:color="auto" w:fill="EEF7F6"/>
          </w:tcPr>
          <w:p>
            <w:pPr>
              <w:spacing w:after="20"/>
            </w:pPr>
            <w:r/>
            <w:r>
              <w:rPr>
                <w:sz w:val="19"/>
              </w:rPr>
              <w:t>+0,034</w:t>
            </w:r>
          </w:p>
        </w:tc>
      </w:tr>
      <w:tr>
        <w:trPr>
          <w:cantSplit/>
        </w:trPr>
        <w:tc>
          <w:tcPr>
            <w:tcW w:type="dxa" w:w="2948"/>
          </w:tcPr>
          <w:p>
            <w:pPr>
              <w:spacing w:after="20"/>
            </w:pPr>
            <w:r/>
            <w:r>
              <w:rPr>
                <w:b/>
                <w:sz w:val="19"/>
              </w:rPr>
              <w:t>ROC-AUC (indépendant du seuil)</w:t>
            </w:r>
          </w:p>
        </w:tc>
        <w:tc>
          <w:tcPr>
            <w:tcW w:type="dxa" w:w="2154"/>
          </w:tcPr>
          <w:p>
            <w:pPr>
              <w:spacing w:after="20"/>
            </w:pPr>
            <w:r/>
            <w:r>
              <w:rPr>
                <w:sz w:val="19"/>
              </w:rPr>
              <w:t>0,683 ± 0,013</w:t>
            </w:r>
          </w:p>
        </w:tc>
        <w:tc>
          <w:tcPr>
            <w:tcW w:type="dxa" w:w="2154"/>
          </w:tcPr>
          <w:p>
            <w:pPr>
              <w:spacing w:after="20"/>
            </w:pPr>
            <w:r/>
            <w:r>
              <w:rPr>
                <w:sz w:val="19"/>
              </w:rPr>
              <w:t>idem</w:t>
            </w:r>
          </w:p>
        </w:tc>
        <w:tc>
          <w:tcPr>
            <w:tcW w:type="dxa" w:w="2154"/>
          </w:tcPr>
          <w:p>
            <w:pPr>
              <w:spacing w:after="20"/>
            </w:pPr>
            <w:r/>
            <w:r>
              <w:rPr>
                <w:sz w:val="19"/>
              </w:rPr>
              <w:t>—</w:t>
            </w:r>
          </w:p>
        </w:tc>
      </w:tr>
    </w:tbl>
    <w:p>
      <w:pPr>
        <w:spacing w:after="40"/>
      </w:pPr>
    </w:p>
    <w:p>
      <w:pPr>
        <w:keepNext/>
        <w:jc w:val="center"/>
      </w:pPr>
      <w:r>
        <w:drawing>
          <wp:inline xmlns:a="http://schemas.openxmlformats.org/drawingml/2006/main" xmlns:pic="http://schemas.openxmlformats.org/drawingml/2006/picture">
            <wp:extent cx="5220000" cy="2784000"/>
            <wp:docPr id="1" name="Picture 1"/>
            <wp:cNvGraphicFramePr>
              <a:graphicFrameLocks noChangeAspect="1"/>
            </wp:cNvGraphicFramePr>
            <a:graphic>
              <a:graphicData uri="http://schemas.openxmlformats.org/drawingml/2006/picture">
                <pic:pic>
                  <pic:nvPicPr>
                    <pic:cNvPr id="0" name="fig5_threshold_cv.png"/>
                    <pic:cNvPicPr/>
                  </pic:nvPicPr>
                  <pic:blipFill>
                    <a:blip r:embed="rId9"/>
                    <a:stretch>
                      <a:fillRect/>
                    </a:stretch>
                  </pic:blipFill>
                  <pic:spPr>
                    <a:xfrm>
                      <a:off x="0" y="0"/>
                      <a:ext cx="5220000" cy="2784000"/>
                    </a:xfrm>
                    <a:prstGeom prst="rect"/>
                  </pic:spPr>
                </pic:pic>
              </a:graphicData>
            </a:graphic>
          </wp:inline>
        </w:drawing>
      </w:r>
    </w:p>
    <w:p>
      <w:pPr>
        <w:jc w:val="center"/>
      </w:pPr>
      <w:r>
        <w:rPr>
          <w:i/>
          <w:color w:val="52514E"/>
          <w:sz w:val="18"/>
        </w:rPr>
        <w:t>Figure 1 : Validation croisée 5-fold, seuil 0,50 vs 0,40</w:t>
      </w:r>
    </w:p>
    <w:p>
      <w:r>
        <w:rPr>
          <w:i w:val="0"/>
        </w:rPr>
        <w:t>Lecture : sur cinq découpages différents des données, le seuil 0,40 anticipe systématiquement environ 15 points de no-shows en plus, au prix d'une précision plus faible. Le résultat de la Semaine 7 n'était donc pas un effet du hasard d'un découpage unique.</w:t>
      </w:r>
    </w:p>
    <w:p>
      <w:pPr>
        <w:keepNext/>
        <w:jc w:val="center"/>
      </w:pPr>
      <w:r>
        <w:drawing>
          <wp:inline xmlns:a="http://schemas.openxmlformats.org/drawingml/2006/main" xmlns:pic="http://schemas.openxmlformats.org/drawingml/2006/picture">
            <wp:extent cx="5220000" cy="2923200"/>
            <wp:docPr id="2" name="Picture 2"/>
            <wp:cNvGraphicFramePr>
              <a:graphicFrameLocks noChangeAspect="1"/>
            </wp:cNvGraphicFramePr>
            <a:graphic>
              <a:graphicData uri="http://schemas.openxmlformats.org/drawingml/2006/picture">
                <pic:pic>
                  <pic:nvPicPr>
                    <pic:cNvPr id="0" name="fig6_missed_by_segment.png"/>
                    <pic:cNvPicPr/>
                  </pic:nvPicPr>
                  <pic:blipFill>
                    <a:blip r:embed="rId10"/>
                    <a:stretch>
                      <a:fillRect/>
                    </a:stretch>
                  </pic:blipFill>
                  <pic:spPr>
                    <a:xfrm>
                      <a:off x="0" y="0"/>
                      <a:ext cx="5220000" cy="2923200"/>
                    </a:xfrm>
                    <a:prstGeom prst="rect"/>
                  </pic:spPr>
                </pic:pic>
              </a:graphicData>
            </a:graphic>
          </wp:inline>
        </w:drawing>
      </w:r>
    </w:p>
    <w:p>
      <w:pPr>
        <w:jc w:val="center"/>
      </w:pPr>
      <w:r>
        <w:rPr>
          <w:i/>
          <w:color w:val="52514E"/>
          <w:sz w:val="18"/>
        </w:rPr>
        <w:t>Figure 2 : Part des vrais no-shows manqués par le modèle, par segment (définition corrigée)</w:t>
      </w:r>
    </w:p>
    <w:p>
      <w:r>
        <w:rPr>
          <w:i w:val="0"/>
        </w:rPr>
        <w:t>Lecture : le modèle ne manque aucun no-show dans les segments à délai long, mais reste peu performant sur le segment Low Risk, où il manque encore 67,8% des vrais no-shows à 0,40. Le modèle ne doit donc jamais servir à décider qui ne reçoit pas de rappel.</w:t>
      </w:r>
    </w:p>
    <w:p>
      <w:r>
        <w:br w:type="page"/>
      </w:r>
    </w:p>
    <w:p>
      <w:pPr>
        <w:pStyle w:val="Heading1"/>
      </w:pPr>
      <w:r>
        <w:t>5. Tableau de Bord Final</w:t>
      </w:r>
    </w:p>
    <w:p>
      <w:r>
        <w:rPr>
          <w:i w:val="0"/>
        </w:rPr>
        <w:t>Le tableau de bord réunit sur une seule page les chiffres clés destinés au management de la clinique. Chaque barre affiche sa taille d'échantillon (n) pour éviter toute lecture abusive des petits groupes.</w:t>
      </w:r>
    </w:p>
    <w:p>
      <w:pPr>
        <w:keepNext/>
        <w:jc w:val="center"/>
      </w:pPr>
      <w:r>
        <w:drawing>
          <wp:inline xmlns:a="http://schemas.openxmlformats.org/drawingml/2006/main" xmlns:pic="http://schemas.openxmlformats.org/drawingml/2006/picture">
            <wp:extent cx="5976000" cy="3362341"/>
            <wp:docPr id="3" name="Picture 3"/>
            <wp:cNvGraphicFramePr>
              <a:graphicFrameLocks noChangeAspect="1"/>
            </wp:cNvGraphicFramePr>
            <a:graphic>
              <a:graphicData uri="http://schemas.openxmlformats.org/drawingml/2006/picture">
                <pic:pic>
                  <pic:nvPicPr>
                    <pic:cNvPr id="0" name="dashboard_final.png"/>
                    <pic:cNvPicPr/>
                  </pic:nvPicPr>
                  <pic:blipFill>
                    <a:blip r:embed="rId11"/>
                    <a:stretch>
                      <a:fillRect/>
                    </a:stretch>
                  </pic:blipFill>
                  <pic:spPr>
                    <a:xfrm>
                      <a:off x="0" y="0"/>
                      <a:ext cx="5976000" cy="3362341"/>
                    </a:xfrm>
                    <a:prstGeom prst="rect"/>
                  </pic:spPr>
                </pic:pic>
              </a:graphicData>
            </a:graphic>
          </wp:inline>
        </w:drawing>
      </w:r>
    </w:p>
    <w:p>
      <w:pPr>
        <w:jc w:val="center"/>
      </w:pPr>
      <w:r>
        <w:rPr>
          <w:i/>
          <w:color w:val="52514E"/>
          <w:sz w:val="18"/>
        </w:rPr>
        <w:t>Figure 3 : Tableau de bord final HealthConnect (données validées en Semaine 8)</w:t>
      </w:r>
    </w:p>
    <w:p>
      <w:pPr>
        <w:pStyle w:val="Heading2"/>
      </w:pPr>
      <w:r>
        <w:t>Patterns d'assiduité les plus importants</w:t>
      </w:r>
    </w:p>
    <w:p>
      <w:pPr>
        <w:keepNext/>
        <w:jc w:val="center"/>
      </w:pPr>
      <w:r>
        <w:drawing>
          <wp:inline xmlns:a="http://schemas.openxmlformats.org/drawingml/2006/main" xmlns:pic="http://schemas.openxmlformats.org/drawingml/2006/picture">
            <wp:extent cx="4680000" cy="2496000"/>
            <wp:docPr id="4" name="Picture 4"/>
            <wp:cNvGraphicFramePr>
              <a:graphicFrameLocks noChangeAspect="1"/>
            </wp:cNvGraphicFramePr>
            <a:graphic>
              <a:graphicData uri="http://schemas.openxmlformats.org/drawingml/2006/picture">
                <pic:pic>
                  <pic:nvPicPr>
                    <pic:cNvPr id="0" name="fig1_lead_time.png"/>
                    <pic:cNvPicPr/>
                  </pic:nvPicPr>
                  <pic:blipFill>
                    <a:blip r:embed="rId12"/>
                    <a:stretch>
                      <a:fillRect/>
                    </a:stretch>
                  </pic:blipFill>
                  <pic:spPr>
                    <a:xfrm>
                      <a:off x="0" y="0"/>
                      <a:ext cx="4680000" cy="2496000"/>
                    </a:xfrm>
                    <a:prstGeom prst="rect"/>
                  </pic:spPr>
                </pic:pic>
              </a:graphicData>
            </a:graphic>
          </wp:inline>
        </w:drawing>
      </w:r>
    </w:p>
    <w:p>
      <w:pPr>
        <w:jc w:val="center"/>
      </w:pPr>
      <w:r>
        <w:rPr>
          <w:i/>
          <w:color w:val="52514E"/>
          <w:sz w:val="18"/>
        </w:rPr>
        <w:t>Figure 4 : Taux de no-show par délai de réservation</w:t>
      </w:r>
    </w:p>
    <w:p>
      <w:r>
        <w:rPr>
          <w:i w:val="0"/>
        </w:rPr>
        <w:t>Pattern n°1, le délai : progression parfaitement monotone de 29,5% à 71,4%. Confirmé dans les 4 types de rendez-vous (Semaine 6) : c'est un phénomène structurel de la clinique, pas d'une spécialité.</w:t>
      </w:r>
    </w:p>
    <w:p>
      <w:pPr>
        <w:keepNext/>
        <w:jc w:val="center"/>
      </w:pPr>
      <w:r>
        <w:drawing>
          <wp:inline xmlns:a="http://schemas.openxmlformats.org/drawingml/2006/main" xmlns:pic="http://schemas.openxmlformats.org/drawingml/2006/picture">
            <wp:extent cx="4680000" cy="2620800"/>
            <wp:docPr id="5" name="Picture 5"/>
            <wp:cNvGraphicFramePr>
              <a:graphicFrameLocks noChangeAspect="1"/>
            </wp:cNvGraphicFramePr>
            <a:graphic>
              <a:graphicData uri="http://schemas.openxmlformats.org/drawingml/2006/picture">
                <pic:pic>
                  <pic:nvPicPr>
                    <pic:cNvPr id="0" name="fig4_risk_segments.png"/>
                    <pic:cNvPicPr/>
                  </pic:nvPicPr>
                  <pic:blipFill>
                    <a:blip r:embed="rId13"/>
                    <a:stretch>
                      <a:fillRect/>
                    </a:stretch>
                  </pic:blipFill>
                  <pic:spPr>
                    <a:xfrm>
                      <a:off x="0" y="0"/>
                      <a:ext cx="4680000" cy="2620800"/>
                    </a:xfrm>
                    <a:prstGeom prst="rect"/>
                  </pic:spPr>
                </pic:pic>
              </a:graphicData>
            </a:graphic>
          </wp:inline>
        </w:drawing>
      </w:r>
    </w:p>
    <w:p>
      <w:pPr>
        <w:jc w:val="center"/>
      </w:pPr>
      <w:r>
        <w:rPr>
          <w:i/>
          <w:color w:val="52514E"/>
          <w:sz w:val="18"/>
        </w:rPr>
        <w:t>Figure 5 : Taux de no-show par segment de risque</w:t>
      </w:r>
    </w:p>
    <w:p>
      <w:r>
        <w:rPr>
          <w:i w:val="0"/>
        </w:rPr>
        <w:t>Pattern n°2, l'effet cumulé : délai long et historique s'additionnent. Le segment High Risk (70,5%) présente un taux deux fois supérieur au segment Low Risk (34,5%). Même ce dernier reste élevé : aucun segment n'est « sans risque ».</w:t>
      </w:r>
    </w:p>
    <w:p>
      <w:pPr>
        <w:keepNext/>
        <w:jc w:val="center"/>
      </w:pPr>
      <w:r>
        <w:drawing>
          <wp:inline xmlns:a="http://schemas.openxmlformats.org/drawingml/2006/main" xmlns:pic="http://schemas.openxmlformats.org/drawingml/2006/picture">
            <wp:extent cx="4680000" cy="2496000"/>
            <wp:docPr id="6" name="Picture 6"/>
            <wp:cNvGraphicFramePr>
              <a:graphicFrameLocks noChangeAspect="1"/>
            </wp:cNvGraphicFramePr>
            <a:graphic>
              <a:graphicData uri="http://schemas.openxmlformats.org/drawingml/2006/picture">
                <pic:pic>
                  <pic:nvPicPr>
                    <pic:cNvPr id="0" name="fig3_channel.png"/>
                    <pic:cNvPicPr/>
                  </pic:nvPicPr>
                  <pic:blipFill>
                    <a:blip r:embed="rId14"/>
                    <a:stretch>
                      <a:fillRect/>
                    </a:stretch>
                  </pic:blipFill>
                  <pic:spPr>
                    <a:xfrm>
                      <a:off x="0" y="0"/>
                      <a:ext cx="4680000" cy="2496000"/>
                    </a:xfrm>
                    <a:prstGeom prst="rect"/>
                  </pic:spPr>
                </pic:pic>
              </a:graphicData>
            </a:graphic>
          </wp:inline>
        </w:drawing>
      </w:r>
    </w:p>
    <w:p>
      <w:pPr>
        <w:jc w:val="center"/>
      </w:pPr>
      <w:r>
        <w:rPr>
          <w:i/>
          <w:color w:val="52514E"/>
          <w:sz w:val="18"/>
        </w:rPr>
        <w:t>Figure 6 : Taux de no-show par canal de rappel</w:t>
      </w:r>
    </w:p>
    <w:p>
      <w:r>
        <w:rPr>
          <w:i w:val="0"/>
        </w:rPr>
        <w:t>Pattern n°3, le rappel : le SMS est le canal le plus associé à la présence (48,0%). WhatsApp (52,7%) apporte peu par rapport à l'absence de rappel (54,6%). L'effet est significatif mais modeste (6,6 points).</w:t>
      </w:r>
    </w:p>
    <w:p>
      <w:pPr>
        <w:pStyle w:val="Heading1"/>
      </w:pPr>
      <w:r>
        <w:t>6. Insights Business</w:t>
      </w:r>
    </w:p>
    <w:p>
      <w:pPr>
        <w:tabs>
          <w:tab w:pos="357" w:val="left"/>
        </w:tabs>
        <w:spacing w:after="60"/>
        <w:ind w:left="357" w:hanging="357"/>
      </w:pPr>
      <w:r>
        <w:t>1.</w:t>
        <w:tab/>
      </w:r>
      <w:r>
        <w:rPr>
          <w:b/>
        </w:rPr>
        <w:t xml:space="preserve">Le no-show est d'abord un problème de calendrier, pas de profil démographique. </w:t>
      </w:r>
      <w:r>
        <w:t>Genre, âge, jour et créneau horaire ne présentent aucun écart supérieur à 6 points ; le délai de réservation triple presque le risque. Le levier principal est donc la politique de prise de rendez-vous.</w:t>
      </w:r>
    </w:p>
    <w:p>
      <w:pPr>
        <w:tabs>
          <w:tab w:pos="357" w:val="left"/>
        </w:tabs>
        <w:spacing w:after="60"/>
        <w:ind w:left="357" w:hanging="357"/>
      </w:pPr>
      <w:r>
        <w:t>2.</w:t>
        <w:tab/>
      </w:r>
      <w:r>
        <w:rPr>
          <w:b/>
        </w:rPr>
        <w:t xml:space="preserve">Un rendez-vous sur cinq concentre le risque le plus élevé. </w:t>
      </w:r>
      <w:r>
        <w:t>Le segment High Risk (977 RDV, 20,6%) justifie une action humaine ciblée plutôt qu'un rappel standard.</w:t>
      </w:r>
    </w:p>
    <w:p>
      <w:pPr>
        <w:tabs>
          <w:tab w:pos="357" w:val="left"/>
        </w:tabs>
        <w:spacing w:after="60"/>
        <w:ind w:left="357" w:hanging="357"/>
      </w:pPr>
      <w:r>
        <w:t>3.</w:t>
        <w:tab/>
      </w:r>
      <w:r>
        <w:rPr>
          <w:b/>
        </w:rPr>
        <w:t xml:space="preserve">Le levier le moins coûteux est aussi le plus négligé. </w:t>
      </w:r>
      <w:r>
        <w:t>27,3% des rendez-vous ne reçoivent aucun rappel. Si ces RDV atteignaient le taux observé avec SMS, environ 85 no-shows en moins seraient attendus sur l'échantillon (scénario corrélationnel, à confirmer par un pilote).</w:t>
      </w:r>
    </w:p>
    <w:p>
      <w:pPr>
        <w:tabs>
          <w:tab w:pos="357" w:val="left"/>
        </w:tabs>
        <w:spacing w:after="60"/>
        <w:ind w:left="357" w:hanging="357"/>
      </w:pPr>
      <w:r>
        <w:t>4.</w:t>
        <w:tab/>
      </w:r>
      <w:r>
        <w:rPr>
          <w:b/>
        </w:rPr>
        <w:t xml:space="preserve">Un bon score global peut cacher un échec ciblé. </w:t>
      </w:r>
      <w:r>
        <w:t>L'accuracy de 62 % masquait un modèle presque aveugle sur le segment Low Risk. Toute évaluation future du modèle doit se faire par segment.</w:t>
      </w:r>
    </w:p>
    <w:p>
      <w:pPr>
        <w:tabs>
          <w:tab w:pos="357" w:val="left"/>
        </w:tabs>
        <w:spacing w:after="60"/>
        <w:ind w:left="357" w:hanging="357"/>
      </w:pPr>
      <w:r>
        <w:t>5.</w:t>
        <w:tab/>
      </w:r>
      <w:r>
        <w:rPr>
          <w:b/>
        </w:rPr>
        <w:t xml:space="preserve">Le modèle apporte surtout un ordre de priorité, pas une certitude. </w:t>
      </w:r>
      <w:r>
        <w:t>Avec une précision de 0,59, environ 4 alertes sur 10 concernent des patients qui seraient venus : le modèle doit déclencher des actions peu coûteuses (SMS), et les actions coûteuses (appel) doivent rester réservées au segment High Risk.</w:t>
      </w:r>
    </w:p>
    <w:p>
      <w:pPr>
        <w:pStyle w:val="Heading1"/>
      </w:pPr>
      <w:r>
        <w:t>7. Recommandations Actionnables</w:t>
      </w:r>
    </w:p>
    <w:p>
      <w:pPr>
        <w:pStyle w:val="Heading2"/>
      </w:pPr>
      <w:r>
        <w:t>7.1 Protocole de rappel à 3 niveaux (recommandation principale)</w:t>
      </w:r>
    </w:p>
    <w:p>
      <w:r>
        <w:rPr>
          <w:i w:val="0"/>
        </w:rPr>
        <w:t>Ce protocole combine la segmentation (règle simple, compréhensible par le personnel) et le modèle à seuil 0,40 (pour élargir la détection au-delà du segment High Risk). Volumes calculés pour 1 000 rendez-vous attendus.</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1361"/>
            <w:shd w:val="clear" w:color="auto" w:fill="155A53"/>
          </w:tcPr>
          <w:p>
            <w:r/>
            <w:r>
              <w:rPr>
                <w:b/>
                <w:color w:val="FFFFFF"/>
                <w:sz w:val="19"/>
              </w:rPr>
              <w:t>Niveau</w:t>
            </w:r>
          </w:p>
        </w:tc>
        <w:tc>
          <w:tcPr>
            <w:tcW w:type="dxa" w:w="2268"/>
            <w:shd w:val="clear" w:color="auto" w:fill="155A53"/>
          </w:tcPr>
          <w:p>
            <w:r/>
            <w:r>
              <w:rPr>
                <w:b/>
                <w:color w:val="FFFFFF"/>
                <w:sz w:val="19"/>
              </w:rPr>
              <w:t>Qui ?</w:t>
            </w:r>
          </w:p>
        </w:tc>
        <w:tc>
          <w:tcPr>
            <w:tcW w:type="dxa" w:w="2381"/>
            <w:shd w:val="clear" w:color="auto" w:fill="155A53"/>
          </w:tcPr>
          <w:p>
            <w:r/>
            <w:r>
              <w:rPr>
                <w:b/>
                <w:color w:val="FFFFFF"/>
                <w:sz w:val="19"/>
              </w:rPr>
              <w:t>Action</w:t>
            </w:r>
          </w:p>
        </w:tc>
        <w:tc>
          <w:tcPr>
            <w:tcW w:type="dxa" w:w="1361"/>
            <w:shd w:val="clear" w:color="auto" w:fill="155A53"/>
          </w:tcPr>
          <w:p>
            <w:r/>
            <w:r>
              <w:rPr>
                <w:b/>
                <w:color w:val="FFFFFF"/>
                <w:sz w:val="19"/>
              </w:rPr>
              <w:t>Volume / 1 000 RDV</w:t>
            </w:r>
          </w:p>
        </w:tc>
        <w:tc>
          <w:tcPr>
            <w:tcW w:type="dxa" w:w="2041"/>
            <w:shd w:val="clear" w:color="auto" w:fill="155A53"/>
          </w:tcPr>
          <w:p>
            <w:r/>
            <w:r>
              <w:rPr>
                <w:b/>
                <w:color w:val="FFFFFF"/>
                <w:sz w:val="19"/>
              </w:rPr>
              <w:t>Justification</w:t>
            </w:r>
          </w:p>
        </w:tc>
      </w:tr>
      <w:tr>
        <w:trPr>
          <w:cantSplit/>
        </w:trPr>
        <w:tc>
          <w:tcPr>
            <w:tcW w:type="dxa" w:w="1361"/>
          </w:tcPr>
          <w:p>
            <w:pPr>
              <w:spacing w:after="20"/>
            </w:pPr>
            <w:r/>
            <w:r>
              <w:rPr>
                <w:b/>
                <w:sz w:val="19"/>
              </w:rPr>
              <w:t>1 — Renforcé</w:t>
            </w:r>
          </w:p>
        </w:tc>
        <w:tc>
          <w:tcPr>
            <w:tcW w:type="dxa" w:w="2268"/>
          </w:tcPr>
          <w:p>
            <w:pPr>
              <w:spacing w:after="20"/>
            </w:pPr>
            <w:r/>
            <w:r>
              <w:rPr>
                <w:sz w:val="19"/>
              </w:rPr>
              <w:t>Segment High Risk (délai &gt; 30 j + ≥ 1 no-show)</w:t>
            </w:r>
          </w:p>
        </w:tc>
        <w:tc>
          <w:tcPr>
            <w:tcW w:type="dxa" w:w="2381"/>
          </w:tcPr>
          <w:p>
            <w:pPr>
              <w:spacing w:after="20"/>
            </w:pPr>
            <w:r/>
            <w:r>
              <w:rPr>
                <w:sz w:val="19"/>
              </w:rPr>
              <w:t>Appel personnel de confirmation + rappel à mi-délai + SMS J-1</w:t>
            </w:r>
          </w:p>
        </w:tc>
        <w:tc>
          <w:tcPr>
            <w:tcW w:type="dxa" w:w="1361"/>
          </w:tcPr>
          <w:p>
            <w:pPr>
              <w:spacing w:after="20"/>
            </w:pPr>
            <w:r/>
            <w:r>
              <w:rPr>
                <w:sz w:val="19"/>
              </w:rPr>
              <w:t>~206</w:t>
            </w:r>
          </w:p>
        </w:tc>
        <w:tc>
          <w:tcPr>
            <w:tcW w:type="dxa" w:w="2041"/>
          </w:tcPr>
          <w:p>
            <w:pPr>
              <w:spacing w:after="20"/>
            </w:pPr>
            <w:r/>
            <w:r>
              <w:rPr>
                <w:sz w:val="19"/>
              </w:rPr>
              <w:t>No-show 70,5%</w:t>
            </w:r>
          </w:p>
        </w:tc>
      </w:tr>
      <w:tr>
        <w:trPr>
          <w:cantSplit/>
        </w:trPr>
        <w:tc>
          <w:tcPr>
            <w:tcW w:type="dxa" w:w="1361"/>
            <w:shd w:val="clear" w:color="auto" w:fill="EEF7F6"/>
          </w:tcPr>
          <w:p>
            <w:pPr>
              <w:spacing w:after="20"/>
            </w:pPr>
            <w:r/>
            <w:r>
              <w:rPr>
                <w:b/>
                <w:sz w:val="19"/>
              </w:rPr>
              <w:t>2 — Surveillé</w:t>
            </w:r>
          </w:p>
        </w:tc>
        <w:tc>
          <w:tcPr>
            <w:tcW w:type="dxa" w:w="2268"/>
            <w:shd w:val="clear" w:color="auto" w:fill="EEF7F6"/>
          </w:tcPr>
          <w:p>
            <w:pPr>
              <w:spacing w:after="20"/>
            </w:pPr>
            <w:r/>
            <w:r>
              <w:rPr>
                <w:sz w:val="19"/>
              </w:rPr>
              <w:t>Autres RDV signalés par le modèle (probabilité ≥ 0,40)</w:t>
            </w:r>
          </w:p>
        </w:tc>
        <w:tc>
          <w:tcPr>
            <w:tcW w:type="dxa" w:w="2381"/>
            <w:shd w:val="clear" w:color="auto" w:fill="EEF7F6"/>
          </w:tcPr>
          <w:p>
            <w:pPr>
              <w:spacing w:after="20"/>
            </w:pPr>
            <w:r/>
            <w:r>
              <w:rPr>
                <w:sz w:val="19"/>
              </w:rPr>
              <w:t>Double rappel SMS (J-7 et J-1)</w:t>
            </w:r>
          </w:p>
        </w:tc>
        <w:tc>
          <w:tcPr>
            <w:tcW w:type="dxa" w:w="1361"/>
            <w:shd w:val="clear" w:color="auto" w:fill="EEF7F6"/>
          </w:tcPr>
          <w:p>
            <w:pPr>
              <w:spacing w:after="20"/>
            </w:pPr>
            <w:r/>
            <w:r>
              <w:rPr>
                <w:sz w:val="19"/>
              </w:rPr>
              <w:t>~517</w:t>
            </w:r>
          </w:p>
        </w:tc>
        <w:tc>
          <w:tcPr>
            <w:tcW w:type="dxa" w:w="2041"/>
            <w:shd w:val="clear" w:color="auto" w:fill="EEF7F6"/>
          </w:tcPr>
          <w:p>
            <w:pPr>
              <w:spacing w:after="20"/>
            </w:pPr>
            <w:r/>
            <w:r>
              <w:rPr>
                <w:sz w:val="19"/>
              </w:rPr>
              <w:t>Rappel du modèle 0,82 ; action peu coûteuse, tolère les fausses alertes</w:t>
            </w:r>
          </w:p>
        </w:tc>
      </w:tr>
      <w:tr>
        <w:trPr>
          <w:cantSplit/>
        </w:trPr>
        <w:tc>
          <w:tcPr>
            <w:tcW w:type="dxa" w:w="1361"/>
          </w:tcPr>
          <w:p>
            <w:pPr>
              <w:spacing w:after="20"/>
            </w:pPr>
            <w:r/>
            <w:r>
              <w:rPr>
                <w:b/>
                <w:sz w:val="19"/>
              </w:rPr>
              <w:t>3 — Standard</w:t>
            </w:r>
          </w:p>
        </w:tc>
        <w:tc>
          <w:tcPr>
            <w:tcW w:type="dxa" w:w="2268"/>
          </w:tcPr>
          <w:p>
            <w:pPr>
              <w:spacing w:after="20"/>
            </w:pPr>
            <w:r/>
            <w:r>
              <w:rPr>
                <w:sz w:val="19"/>
              </w:rPr>
              <w:t>Tous les autres RDV</w:t>
            </w:r>
          </w:p>
        </w:tc>
        <w:tc>
          <w:tcPr>
            <w:tcW w:type="dxa" w:w="2381"/>
          </w:tcPr>
          <w:p>
            <w:pPr>
              <w:spacing w:after="20"/>
            </w:pPr>
            <w:r/>
            <w:r>
              <w:rPr>
                <w:sz w:val="19"/>
              </w:rPr>
              <w:t>SMS standard J-1 (jamais zéro rappel)</w:t>
            </w:r>
          </w:p>
        </w:tc>
        <w:tc>
          <w:tcPr>
            <w:tcW w:type="dxa" w:w="1361"/>
          </w:tcPr>
          <w:p>
            <w:pPr>
              <w:spacing w:after="20"/>
            </w:pPr>
            <w:r/>
            <w:r>
              <w:rPr>
                <w:sz w:val="19"/>
              </w:rPr>
              <w:t>~277</w:t>
            </w:r>
          </w:p>
        </w:tc>
        <w:tc>
          <w:tcPr>
            <w:tcW w:type="dxa" w:w="2041"/>
          </w:tcPr>
          <w:p>
            <w:pPr>
              <w:spacing w:after="20"/>
            </w:pPr>
            <w:r/>
            <w:r>
              <w:rPr>
                <w:sz w:val="19"/>
              </w:rPr>
              <w:t>Segment Low Risk : 34,5% de no-show</w:t>
            </w:r>
          </w:p>
        </w:tc>
      </w:tr>
    </w:tbl>
    <w:p>
      <w:pPr>
        <w:spacing w:after="40"/>
      </w:pPr>
    </w:p>
    <w:p>
      <w:pPr>
        <w:pStyle w:val="Heading2"/>
      </w:pPr>
      <w:r>
        <w:t>7.2 Recommandations complémentaires</w:t>
      </w:r>
    </w:p>
    <w:p>
      <w:pPr>
        <w:tabs>
          <w:tab w:pos="357" w:val="left"/>
        </w:tabs>
        <w:spacing w:after="60"/>
        <w:ind w:left="357" w:hanging="357"/>
      </w:pPr>
      <w:r>
        <w:t>1.</w:t>
        <w:tab/>
      </w:r>
      <w:r>
        <w:rPr>
          <w:b/>
        </w:rPr>
        <w:t xml:space="preserve">Adopter le SMS comme canal par défaut </w:t>
      </w:r>
      <w:r>
        <w:t>et migrer progressivement les rappels WhatsApp, dont l'efficacité est proche de l'absence de rappel.</w:t>
      </w:r>
    </w:p>
    <w:p>
      <w:pPr>
        <w:tabs>
          <w:tab w:pos="357" w:val="left"/>
        </w:tabs>
        <w:spacing w:after="60"/>
        <w:ind w:left="357" w:hanging="357"/>
      </w:pPr>
      <w:r>
        <w:t>2.</w:t>
        <w:tab/>
      </w:r>
      <w:r>
        <w:rPr>
          <w:b/>
        </w:rPr>
        <w:t xml:space="preserve">Ajouter un point de contact intermédiaire pour tout RDV réservé à plus de 30 jours, </w:t>
      </w:r>
      <w:r>
        <w:t>voire limiter l'ouverture de créneaux non urgents au-delà de 30 jours (action structurelle, valable pour les 4 types de rendez-vous).</w:t>
      </w:r>
    </w:p>
    <w:p>
      <w:pPr>
        <w:tabs>
          <w:tab w:pos="357" w:val="left"/>
        </w:tabs>
        <w:spacing w:after="60"/>
        <w:ind w:left="357" w:hanging="357"/>
      </w:pPr>
      <w:r>
        <w:t>3.</w:t>
        <w:tab/>
      </w:r>
      <w:r>
        <w:rPr>
          <w:b/>
        </w:rPr>
        <w:t xml:space="preserve">Étudier la téléconsultation pour les patients à plus de 20 km </w:t>
      </w:r>
      <w:r>
        <w:t>(58,4% à 70,0% de no-show), sur un groupe encore restreint (375 RDV).</w:t>
      </w:r>
    </w:p>
    <w:p>
      <w:pPr>
        <w:tabs>
          <w:tab w:pos="357" w:val="left"/>
        </w:tabs>
        <w:spacing w:after="60"/>
        <w:ind w:left="357" w:hanging="357"/>
      </w:pPr>
      <w:r>
        <w:t>4.</w:t>
        <w:tab/>
      </w:r>
      <w:r>
        <w:rPr>
          <w:b/>
        </w:rPr>
        <w:t xml:space="preserve">Lancer un pilote de 8 semaines avant généralisation, </w:t>
      </w:r>
      <w:r>
        <w:t>avec un groupe témoin, pour mesurer l'effet réel du protocole : les estimations de ce rapport sont corrélationnelles.</w:t>
      </w:r>
    </w:p>
    <w:p>
      <w:pPr>
        <w:tabs>
          <w:tab w:pos="357" w:val="left"/>
        </w:tabs>
        <w:spacing w:after="60"/>
        <w:ind w:left="357" w:hanging="357"/>
      </w:pPr>
      <w:r>
        <w:t>5.</w:t>
        <w:tab/>
      </w:r>
      <w:r>
        <w:rPr>
          <w:b/>
        </w:rPr>
        <w:t xml:space="preserve">Suivre 4 KPIs mensuels : </w:t>
      </w:r>
      <w:r>
        <w:t>taux de no-show global, taux High Risk, part de RDV sans rappel (cible 0 %), rappel du modèle par segment.</w:t>
      </w:r>
    </w:p>
    <w:p>
      <w:pPr>
        <w:pStyle w:val="Heading2"/>
      </w:pPr>
      <w:r>
        <w:t>7.3 Comment les findings soutiennent les décisions de HealthConnect</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3137"/>
        <w:gridCol w:w="3137"/>
        <w:gridCol w:w="3137"/>
      </w:tblGrid>
      <w:tr>
        <w:trPr>
          <w:tblHeader w:val="true"/>
          <w:cantSplit/>
        </w:trPr>
        <w:tc>
          <w:tcPr>
            <w:tcW w:type="dxa" w:w="2835"/>
            <w:shd w:val="clear" w:color="auto" w:fill="155A53"/>
          </w:tcPr>
          <w:p>
            <w:r/>
            <w:r>
              <w:rPr>
                <w:b/>
                <w:color w:val="FFFFFF"/>
                <w:sz w:val="19"/>
              </w:rPr>
              <w:t>Décision de la clinique</w:t>
            </w:r>
          </w:p>
        </w:tc>
        <w:tc>
          <w:tcPr>
            <w:tcW w:type="dxa" w:w="3969"/>
            <w:shd w:val="clear" w:color="auto" w:fill="155A53"/>
          </w:tcPr>
          <w:p>
            <w:r/>
            <w:r>
              <w:rPr>
                <w:b/>
                <w:color w:val="FFFFFF"/>
                <w:sz w:val="19"/>
              </w:rPr>
              <w:t>Preuve analytique</w:t>
            </w:r>
          </w:p>
        </w:tc>
        <w:tc>
          <w:tcPr>
            <w:tcW w:type="dxa" w:w="2608"/>
            <w:shd w:val="clear" w:color="auto" w:fill="155A53"/>
          </w:tcPr>
          <w:p>
            <w:r/>
            <w:r>
              <w:rPr>
                <w:b/>
                <w:color w:val="FFFFFF"/>
                <w:sz w:val="19"/>
              </w:rPr>
              <w:t>Recommandation</w:t>
            </w:r>
          </w:p>
        </w:tc>
      </w:tr>
      <w:tr>
        <w:trPr>
          <w:cantSplit/>
        </w:trPr>
        <w:tc>
          <w:tcPr>
            <w:tcW w:type="dxa" w:w="2835"/>
          </w:tcPr>
          <w:p>
            <w:pPr>
              <w:spacing w:after="20"/>
            </w:pPr>
            <w:r/>
            <w:r>
              <w:rPr>
                <w:b/>
                <w:sz w:val="19"/>
              </w:rPr>
              <w:t>Quel seuil d'alerte adopter ?</w:t>
            </w:r>
          </w:p>
        </w:tc>
        <w:tc>
          <w:tcPr>
            <w:tcW w:type="dxa" w:w="3969"/>
          </w:tcPr>
          <w:p>
            <w:pPr>
              <w:spacing w:after="20"/>
            </w:pPr>
            <w:r/>
            <w:r>
              <w:rPr>
                <w:sz w:val="19"/>
              </w:rPr>
              <w:t>CV 5-fold : F1 0,685 vs 0,651, rappel 0,817 vs 0,662</w:t>
            </w:r>
          </w:p>
        </w:tc>
        <w:tc>
          <w:tcPr>
            <w:tcW w:type="dxa" w:w="2608"/>
          </w:tcPr>
          <w:p>
            <w:pPr>
              <w:spacing w:after="20"/>
            </w:pPr>
            <w:r/>
            <w:r>
              <w:rPr>
                <w:sz w:val="19"/>
              </w:rPr>
              <w:t>Seuil 0,40</w:t>
            </w:r>
          </w:p>
        </w:tc>
      </w:tr>
      <w:tr>
        <w:trPr>
          <w:cantSplit/>
        </w:trPr>
        <w:tc>
          <w:tcPr>
            <w:tcW w:type="dxa" w:w="2835"/>
            <w:shd w:val="clear" w:color="auto" w:fill="EEF7F6"/>
          </w:tcPr>
          <w:p>
            <w:pPr>
              <w:spacing w:after="20"/>
            </w:pPr>
            <w:r/>
            <w:r>
              <w:rPr>
                <w:b/>
                <w:sz w:val="19"/>
              </w:rPr>
              <w:t>Qui mérite un appel humain ?</w:t>
            </w:r>
          </w:p>
        </w:tc>
        <w:tc>
          <w:tcPr>
            <w:tcW w:type="dxa" w:w="3969"/>
            <w:shd w:val="clear" w:color="auto" w:fill="EEF7F6"/>
          </w:tcPr>
          <w:p>
            <w:pPr>
              <w:spacing w:after="20"/>
            </w:pPr>
            <w:r/>
            <w:r>
              <w:rPr>
                <w:sz w:val="19"/>
              </w:rPr>
              <w:t>High Risk : 70,5% de no-show, 20,6% des RDV</w:t>
            </w:r>
          </w:p>
        </w:tc>
        <w:tc>
          <w:tcPr>
            <w:tcW w:type="dxa" w:w="2608"/>
            <w:shd w:val="clear" w:color="auto" w:fill="EEF7F6"/>
          </w:tcPr>
          <w:p>
            <w:pPr>
              <w:spacing w:after="20"/>
            </w:pPr>
            <w:r/>
            <w:r>
              <w:rPr>
                <w:sz w:val="19"/>
              </w:rPr>
              <w:t>Segment High Risk uniquement</w:t>
            </w:r>
          </w:p>
        </w:tc>
      </w:tr>
      <w:tr>
        <w:trPr>
          <w:cantSplit/>
        </w:trPr>
        <w:tc>
          <w:tcPr>
            <w:tcW w:type="dxa" w:w="2835"/>
          </w:tcPr>
          <w:p>
            <w:pPr>
              <w:spacing w:after="20"/>
            </w:pPr>
            <w:r/>
            <w:r>
              <w:rPr>
                <w:b/>
                <w:sz w:val="19"/>
              </w:rPr>
              <w:t>Peut-on supprimer les rappels pour les patients « sûrs » ?</w:t>
            </w:r>
          </w:p>
        </w:tc>
        <w:tc>
          <w:tcPr>
            <w:tcW w:type="dxa" w:w="3969"/>
          </w:tcPr>
          <w:p>
            <w:pPr>
              <w:spacing w:after="20"/>
            </w:pPr>
            <w:r/>
            <w:r>
              <w:rPr>
                <w:sz w:val="19"/>
              </w:rPr>
              <w:t>Low Risk : 34,5% de no-show ; modèle manque 67,8% de leurs no-shows</w:t>
            </w:r>
          </w:p>
        </w:tc>
        <w:tc>
          <w:tcPr>
            <w:tcW w:type="dxa" w:w="2608"/>
          </w:tcPr>
          <w:p>
            <w:pPr>
              <w:spacing w:after="20"/>
            </w:pPr>
            <w:r/>
            <w:r>
              <w:rPr>
                <w:sz w:val="19"/>
              </w:rPr>
              <w:t>Non, jamais</w:t>
            </w:r>
          </w:p>
        </w:tc>
      </w:tr>
      <w:tr>
        <w:trPr>
          <w:cantSplit/>
        </w:trPr>
        <w:tc>
          <w:tcPr>
            <w:tcW w:type="dxa" w:w="2835"/>
            <w:shd w:val="clear" w:color="auto" w:fill="EEF7F6"/>
          </w:tcPr>
          <w:p>
            <w:pPr>
              <w:spacing w:after="20"/>
            </w:pPr>
            <w:r/>
            <w:r>
              <w:rPr>
                <w:b/>
                <w:sz w:val="19"/>
              </w:rPr>
              <w:t>Quel canal privilégier ?</w:t>
            </w:r>
          </w:p>
        </w:tc>
        <w:tc>
          <w:tcPr>
            <w:tcW w:type="dxa" w:w="3969"/>
            <w:shd w:val="clear" w:color="auto" w:fill="EEF7F6"/>
          </w:tcPr>
          <w:p>
            <w:pPr>
              <w:spacing w:after="20"/>
            </w:pPr>
            <w:r/>
            <w:r>
              <w:rPr>
                <w:sz w:val="19"/>
              </w:rPr>
              <w:t>SMS 48,0 % vs WhatsApp 52,7 % vs aucun 54,6 % (χ² p = 0,0019)</w:t>
            </w:r>
          </w:p>
        </w:tc>
        <w:tc>
          <w:tcPr>
            <w:tcW w:type="dxa" w:w="2608"/>
            <w:shd w:val="clear" w:color="auto" w:fill="EEF7F6"/>
          </w:tcPr>
          <w:p>
            <w:pPr>
              <w:spacing w:after="20"/>
            </w:pPr>
            <w:r/>
            <w:r>
              <w:rPr>
                <w:sz w:val="19"/>
              </w:rPr>
              <w:t>SMS par défaut</w:t>
            </w:r>
          </w:p>
        </w:tc>
      </w:tr>
      <w:tr>
        <w:trPr>
          <w:cantSplit/>
        </w:trPr>
        <w:tc>
          <w:tcPr>
            <w:tcW w:type="dxa" w:w="2835"/>
          </w:tcPr>
          <w:p>
            <w:pPr>
              <w:spacing w:after="20"/>
            </w:pPr>
            <w:r/>
            <w:r>
              <w:rPr>
                <w:b/>
                <w:sz w:val="19"/>
              </w:rPr>
              <w:t>Faut-il cibler par âge ou genre ?</w:t>
            </w:r>
          </w:p>
        </w:tc>
        <w:tc>
          <w:tcPr>
            <w:tcW w:type="dxa" w:w="3969"/>
          </w:tcPr>
          <w:p>
            <w:pPr>
              <w:spacing w:after="20"/>
            </w:pPr>
            <w:r/>
            <w:r>
              <w:rPr>
                <w:sz w:val="19"/>
              </w:rPr>
              <w:t>Écarts &lt; 6 points, aucun gradient</w:t>
            </w:r>
          </w:p>
        </w:tc>
        <w:tc>
          <w:tcPr>
            <w:tcW w:type="dxa" w:w="2608"/>
          </w:tcPr>
          <w:p>
            <w:pPr>
              <w:spacing w:after="20"/>
            </w:pPr>
            <w:r/>
            <w:r>
              <w:rPr>
                <w:sz w:val="19"/>
              </w:rPr>
              <w:t>Non</w:t>
            </w:r>
          </w:p>
        </w:tc>
      </w:tr>
      <w:tr>
        <w:trPr>
          <w:cantSplit/>
        </w:trPr>
        <w:tc>
          <w:tcPr>
            <w:tcW w:type="dxa" w:w="2835"/>
            <w:shd w:val="clear" w:color="auto" w:fill="EEF7F6"/>
          </w:tcPr>
          <w:p>
            <w:pPr>
              <w:spacing w:after="20"/>
            </w:pPr>
            <w:r/>
            <w:r>
              <w:rPr>
                <w:b/>
                <w:sz w:val="19"/>
              </w:rPr>
              <w:t>Faut-il revoir la politique de réservation ?</w:t>
            </w:r>
          </w:p>
        </w:tc>
        <w:tc>
          <w:tcPr>
            <w:tcW w:type="dxa" w:w="3969"/>
            <w:shd w:val="clear" w:color="auto" w:fill="EEF7F6"/>
          </w:tcPr>
          <w:p>
            <w:pPr>
              <w:spacing w:after="20"/>
            </w:pPr>
            <w:r/>
            <w:r>
              <w:rPr>
                <w:sz w:val="19"/>
              </w:rPr>
              <w:t>Gradient de délai confirmé dans les 4 types de RDV</w:t>
            </w:r>
          </w:p>
        </w:tc>
        <w:tc>
          <w:tcPr>
            <w:tcW w:type="dxa" w:w="2608"/>
            <w:shd w:val="clear" w:color="auto" w:fill="EEF7F6"/>
          </w:tcPr>
          <w:p>
            <w:pPr>
              <w:spacing w:after="20"/>
            </w:pPr>
            <w:r/>
            <w:r>
              <w:rPr>
                <w:sz w:val="19"/>
              </w:rPr>
              <w:t>Oui, rappel à mi-délai au-delà de 30 j</w:t>
            </w:r>
          </w:p>
        </w:tc>
      </w:tr>
    </w:tbl>
    <w:p>
      <w:pPr>
        <w:spacing w:after="40"/>
      </w:pPr>
    </w:p>
    <w:p>
      <w:pPr>
        <w:pStyle w:val="Heading1"/>
      </w:pPr>
      <w:r>
        <w:t>8. Intégration HC-POD Finale (obligatoire)</w:t>
      </w:r>
    </w:p>
    <w:p>
      <w:r>
        <w:rPr>
          <w:i w:val="0"/>
          <w:color w:val="52514E"/>
        </w:rPr>
        <w:t>Contexte : comme en Semaines 6 et 7, cette piste est suivie en solo, sans binôme réel sur les autres pistes. Le rôle Data Science a été auto-assumé (artefact de modèle, preuve acceptée par l'énoncé). Pour les pistes Project Management, ML Engineering et Generative AI, les outputs ci-dessous ont été produits et documentés comme livrables de transmission ; aucun retour réel n'a été reçu de ces pistes, et c'est indiqué explicitement plutôt que présenté comme acquis.</w:t>
      </w:r>
    </w:p>
    <w:p>
      <w:pPr>
        <w:pStyle w:val="Heading2"/>
      </w:pPr>
      <w:r>
        <w:t>8.1 Data Analytics ↔ Data Science</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4706"/>
        <w:gridCol w:w="4706"/>
      </w:tblGrid>
      <w:tr>
        <w:trPr>
          <w:tblHeader w:val="true"/>
          <w:cantSplit/>
        </w:trPr>
        <w:tc>
          <w:tcPr>
            <w:tcW w:type="dxa" w:w="2608"/>
            <w:shd w:val="clear" w:color="auto" w:fill="155A53"/>
          </w:tcPr>
          <w:p>
            <w:r/>
            <w:r>
              <w:rPr>
                <w:b/>
                <w:color w:val="FFFFFF"/>
                <w:sz w:val="19"/>
              </w:rPr>
              <w:t>Élément</w:t>
            </w:r>
          </w:p>
        </w:tc>
        <w:tc>
          <w:tcPr>
            <w:tcW w:type="dxa" w:w="6803"/>
            <w:shd w:val="clear" w:color="auto" w:fill="155A53"/>
          </w:tcPr>
          <w:p>
            <w:r/>
            <w:r>
              <w:rPr>
                <w:b/>
                <w:color w:val="FFFFFF"/>
                <w:sz w:val="19"/>
              </w:rPr>
              <w:t>Détail</w:t>
            </w:r>
          </w:p>
        </w:tc>
      </w:tr>
      <w:tr>
        <w:trPr>
          <w:cantSplit/>
        </w:trPr>
        <w:tc>
          <w:tcPr>
            <w:tcW w:type="dxa" w:w="2608"/>
          </w:tcPr>
          <w:p>
            <w:pPr>
              <w:spacing w:after="20"/>
            </w:pPr>
            <w:r/>
            <w:r>
              <w:rPr>
                <w:b/>
                <w:sz w:val="19"/>
              </w:rPr>
              <w:t>1. Piste</w:t>
            </w:r>
          </w:p>
        </w:tc>
        <w:tc>
          <w:tcPr>
            <w:tcW w:type="dxa" w:w="6803"/>
          </w:tcPr>
          <w:p>
            <w:pPr>
              <w:spacing w:after="20"/>
            </w:pPr>
            <w:r/>
            <w:r>
              <w:rPr>
                <w:sz w:val="19"/>
              </w:rPr>
              <w:t>Data Science (rôle auto-assumé)</w:t>
            </w:r>
          </w:p>
        </w:tc>
      </w:tr>
      <w:tr>
        <w:trPr>
          <w:cantSplit/>
        </w:trPr>
        <w:tc>
          <w:tcPr>
            <w:tcW w:type="dxa" w:w="2608"/>
            <w:shd w:val="clear" w:color="auto" w:fill="EEF7F6"/>
          </w:tcPr>
          <w:p>
            <w:pPr>
              <w:spacing w:after="20"/>
            </w:pPr>
            <w:r/>
            <w:r>
              <w:rPr>
                <w:b/>
                <w:sz w:val="19"/>
              </w:rPr>
              <w:t>2. Dépendance</w:t>
            </w:r>
          </w:p>
        </w:tc>
        <w:tc>
          <w:tcPr>
            <w:tcW w:type="dxa" w:w="6803"/>
            <w:shd w:val="clear" w:color="auto" w:fill="EEF7F6"/>
          </w:tcPr>
          <w:p>
            <w:pPr>
              <w:spacing w:after="20"/>
            </w:pPr>
            <w:r/>
            <w:r>
              <w:rPr>
                <w:sz w:val="19"/>
              </w:rPr>
              <w:t>Le modèle candidat utilise exclusivement les 4 features validées par Data Analytics ; son évaluation par segment dépend de la segmentation Data Analytics</w:t>
            </w:r>
          </w:p>
        </w:tc>
      </w:tr>
      <w:tr>
        <w:trPr>
          <w:cantSplit/>
        </w:trPr>
        <w:tc>
          <w:tcPr>
            <w:tcW w:type="dxa" w:w="2608"/>
          </w:tcPr>
          <w:p>
            <w:pPr>
              <w:spacing w:after="20"/>
            </w:pPr>
            <w:r/>
            <w:r>
              <w:rPr>
                <w:b/>
                <w:sz w:val="19"/>
              </w:rPr>
              <w:t>3. Output reçu</w:t>
            </w:r>
          </w:p>
        </w:tc>
        <w:tc>
          <w:tcPr>
            <w:tcW w:type="dxa" w:w="6803"/>
          </w:tcPr>
          <w:p>
            <w:pPr>
              <w:spacing w:after="20"/>
            </w:pPr>
            <w:r/>
            <w:r>
              <w:rPr>
                <w:sz w:val="19"/>
              </w:rPr>
              <w:t>Modèle de régression logistique candidat (S6), seuil raffiné 0,40 (S7)</w:t>
            </w:r>
          </w:p>
        </w:tc>
      </w:tr>
      <w:tr>
        <w:trPr>
          <w:cantSplit/>
        </w:trPr>
        <w:tc>
          <w:tcPr>
            <w:tcW w:type="dxa" w:w="2608"/>
            <w:shd w:val="clear" w:color="auto" w:fill="EEF7F6"/>
          </w:tcPr>
          <w:p>
            <w:pPr>
              <w:spacing w:after="20"/>
            </w:pPr>
            <w:r/>
            <w:r>
              <w:rPr>
                <w:b/>
                <w:sz w:val="19"/>
              </w:rPr>
              <w:t>4. Output fourni</w:t>
            </w:r>
          </w:p>
        </w:tc>
        <w:tc>
          <w:tcPr>
            <w:tcW w:type="dxa" w:w="6803"/>
            <w:shd w:val="clear" w:color="auto" w:fill="EEF7F6"/>
          </w:tcPr>
          <w:p>
            <w:pPr>
              <w:spacing w:after="20"/>
            </w:pPr>
            <w:r/>
            <w:r>
              <w:rPr>
                <w:sz w:val="19"/>
              </w:rPr>
              <w:t>Segmentation de risque, validation croisée du seuil, définition corrigée du taux de no-shows manqués</w:t>
            </w:r>
          </w:p>
        </w:tc>
      </w:tr>
      <w:tr>
        <w:trPr>
          <w:cantSplit/>
        </w:trPr>
        <w:tc>
          <w:tcPr>
            <w:tcW w:type="dxa" w:w="2608"/>
          </w:tcPr>
          <w:p>
            <w:pPr>
              <w:spacing w:after="20"/>
            </w:pPr>
            <w:r/>
            <w:r>
              <w:rPr>
                <w:b/>
                <w:sz w:val="19"/>
              </w:rPr>
              <w:t>5. Activité d'intégration finale</w:t>
            </w:r>
          </w:p>
        </w:tc>
        <w:tc>
          <w:tcPr>
            <w:tcW w:type="dxa" w:w="6803"/>
          </w:tcPr>
          <w:p>
            <w:pPr>
              <w:spacing w:after="20"/>
            </w:pPr>
            <w:r/>
            <w:r>
              <w:rPr>
                <w:sz w:val="19"/>
              </w:rPr>
              <w:t>CV 5-fold du modèle candidat aux deux seuils ; recalcul des erreurs par segment avec les deux dénominateurs</w:t>
            </w:r>
          </w:p>
        </w:tc>
      </w:tr>
      <w:tr>
        <w:trPr>
          <w:cantSplit/>
        </w:trPr>
        <w:tc>
          <w:tcPr>
            <w:tcW w:type="dxa" w:w="2608"/>
            <w:shd w:val="clear" w:color="auto" w:fill="EEF7F6"/>
          </w:tcPr>
          <w:p>
            <w:pPr>
              <w:spacing w:after="20"/>
            </w:pPr>
            <w:r/>
            <w:r>
              <w:rPr>
                <w:b/>
                <w:sz w:val="19"/>
              </w:rPr>
              <w:t>6. Ce qui a changé</w:t>
            </w:r>
          </w:p>
        </w:tc>
        <w:tc>
          <w:tcPr>
            <w:tcW w:type="dxa" w:w="6803"/>
            <w:shd w:val="clear" w:color="auto" w:fill="EEF7F6"/>
          </w:tcPr>
          <w:p>
            <w:pPr>
              <w:spacing w:after="20"/>
            </w:pPr>
            <w:r/>
            <w:r>
              <w:rPr>
                <w:sz w:val="19"/>
              </w:rPr>
              <w:t>Seuil 0,40 confirmé comme final ; le libellé du chiffre de 34,3 % est corrigé ; la faiblesse sur Low Risk est quantifiée correctement (67,8 %)</w:t>
            </w:r>
          </w:p>
        </w:tc>
      </w:tr>
      <w:tr>
        <w:trPr>
          <w:cantSplit/>
        </w:trPr>
        <w:tc>
          <w:tcPr>
            <w:tcW w:type="dxa" w:w="2608"/>
          </w:tcPr>
          <w:p>
            <w:pPr>
              <w:spacing w:after="20"/>
            </w:pPr>
            <w:r/>
            <w:r>
              <w:rPr>
                <w:b/>
                <w:sz w:val="19"/>
              </w:rPr>
              <w:t>7. Amélioration</w:t>
            </w:r>
          </w:p>
        </w:tc>
        <w:tc>
          <w:tcPr>
            <w:tcW w:type="dxa" w:w="6803"/>
          </w:tcPr>
          <w:p>
            <w:pPr>
              <w:spacing w:after="20"/>
            </w:pPr>
            <w:r/>
            <w:r>
              <w:rPr>
                <w:sz w:val="19"/>
              </w:rPr>
              <w:t>Le modèle final repose sur une preuve robuste (5 plis) plutôt que sur un seul découpage ; ses limites d'usage sont précisément définies</w:t>
            </w:r>
          </w:p>
        </w:tc>
      </w:tr>
      <w:tr>
        <w:trPr>
          <w:cantSplit/>
        </w:trPr>
        <w:tc>
          <w:tcPr>
            <w:tcW w:type="dxa" w:w="2608"/>
            <w:shd w:val="clear" w:color="auto" w:fill="EEF7F6"/>
          </w:tcPr>
          <w:p>
            <w:pPr>
              <w:spacing w:after="20"/>
            </w:pPr>
            <w:r/>
            <w:r>
              <w:rPr>
                <w:b/>
                <w:sz w:val="19"/>
              </w:rPr>
              <w:t>8. Preuve</w:t>
            </w:r>
          </w:p>
        </w:tc>
        <w:tc>
          <w:tcPr>
            <w:tcW w:type="dxa" w:w="6803"/>
            <w:shd w:val="clear" w:color="auto" w:fill="EEF7F6"/>
          </w:tcPr>
          <w:p>
            <w:pPr>
              <w:spacing w:after="20"/>
            </w:pPr>
            <w:r/>
            <w:r>
              <w:rPr>
                <w:sz w:val="19"/>
              </w:rPr>
              <w:t>HealthConnect_Final_Analytics.py (sections 2-3), outputs/final_kpis.json, figures 1-2</w:t>
            </w:r>
          </w:p>
        </w:tc>
      </w:tr>
      <w:tr>
        <w:trPr>
          <w:cantSplit/>
        </w:trPr>
        <w:tc>
          <w:tcPr>
            <w:tcW w:type="dxa" w:w="2608"/>
          </w:tcPr>
          <w:p>
            <w:pPr>
              <w:spacing w:after="20"/>
            </w:pPr>
            <w:r/>
            <w:r>
              <w:rPr>
                <w:b/>
                <w:sz w:val="19"/>
              </w:rPr>
              <w:t>9. Contribution à la présentation</w:t>
            </w:r>
          </w:p>
        </w:tc>
        <w:tc>
          <w:tcPr>
            <w:tcW w:type="dxa" w:w="6803"/>
          </w:tcPr>
          <w:p>
            <w:pPr>
              <w:spacing w:after="20"/>
            </w:pPr>
            <w:r/>
            <w:r>
              <w:rPr>
                <w:sz w:val="19"/>
              </w:rPr>
              <w:t>Diapositives « Validation du modèle final » et « Ce que le modèle ne doit pas faire »</w:t>
            </w:r>
          </w:p>
        </w:tc>
      </w:tr>
    </w:tbl>
    <w:p>
      <w:pPr>
        <w:spacing w:after="40"/>
      </w:pPr>
    </w:p>
    <w:p>
      <w:pPr>
        <w:pStyle w:val="Heading2"/>
      </w:pPr>
      <w:r>
        <w:t>8.2 Data Analytics → Project Management</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4706"/>
        <w:gridCol w:w="4706"/>
      </w:tblGrid>
      <w:tr>
        <w:trPr>
          <w:tblHeader w:val="true"/>
          <w:cantSplit/>
        </w:trPr>
        <w:tc>
          <w:tcPr>
            <w:tcW w:type="dxa" w:w="2608"/>
            <w:shd w:val="clear" w:color="auto" w:fill="155A53"/>
          </w:tcPr>
          <w:p>
            <w:r/>
            <w:r>
              <w:rPr>
                <w:b/>
                <w:color w:val="FFFFFF"/>
                <w:sz w:val="19"/>
              </w:rPr>
              <w:t>Élément</w:t>
            </w:r>
          </w:p>
        </w:tc>
        <w:tc>
          <w:tcPr>
            <w:tcW w:type="dxa" w:w="6803"/>
            <w:shd w:val="clear" w:color="auto" w:fill="155A53"/>
          </w:tcPr>
          <w:p>
            <w:r/>
            <w:r>
              <w:rPr>
                <w:b/>
                <w:color w:val="FFFFFF"/>
                <w:sz w:val="19"/>
              </w:rPr>
              <w:t>Détail</w:t>
            </w:r>
          </w:p>
        </w:tc>
      </w:tr>
      <w:tr>
        <w:trPr>
          <w:cantSplit/>
        </w:trPr>
        <w:tc>
          <w:tcPr>
            <w:tcW w:type="dxa" w:w="2608"/>
          </w:tcPr>
          <w:p>
            <w:pPr>
              <w:spacing w:after="20"/>
            </w:pPr>
            <w:r/>
            <w:r>
              <w:rPr>
                <w:b/>
                <w:sz w:val="19"/>
              </w:rPr>
              <w:t>Dépendance</w:t>
            </w:r>
          </w:p>
        </w:tc>
        <w:tc>
          <w:tcPr>
            <w:tcW w:type="dxa" w:w="6803"/>
          </w:tcPr>
          <w:p>
            <w:pPr>
              <w:spacing w:after="20"/>
            </w:pPr>
            <w:r/>
            <w:r>
              <w:rPr>
                <w:sz w:val="19"/>
              </w:rPr>
              <w:t>La Gestion de Projet doit valider la faisabilité opérationnelle du seuil 0,40 (point non résolu en S7)</w:t>
            </w:r>
          </w:p>
        </w:tc>
      </w:tr>
      <w:tr>
        <w:trPr>
          <w:cantSplit/>
        </w:trPr>
        <w:tc>
          <w:tcPr>
            <w:tcW w:type="dxa" w:w="2608"/>
            <w:shd w:val="clear" w:color="auto" w:fill="EEF7F6"/>
          </w:tcPr>
          <w:p>
            <w:pPr>
              <w:spacing w:after="20"/>
            </w:pPr>
            <w:r/>
            <w:r>
              <w:rPr>
                <w:b/>
                <w:sz w:val="19"/>
              </w:rPr>
              <w:t>Output fourni</w:t>
            </w:r>
          </w:p>
        </w:tc>
        <w:tc>
          <w:tcPr>
            <w:tcW w:type="dxa" w:w="6803"/>
            <w:shd w:val="clear" w:color="auto" w:fill="EEF7F6"/>
          </w:tcPr>
          <w:p>
            <w:pPr>
              <w:spacing w:after="20"/>
            </w:pPr>
            <w:r/>
            <w:r>
              <w:rPr>
                <w:sz w:val="19"/>
              </w:rPr>
              <w:t>Charge opérationnelle chiffrée : 723 RDV signalés / 1 000 à 0,40 (contre 570 à 0,50), dont ~206 appels personnels ; table de décision (7.3) ; 4 KPIs de suivi</w:t>
            </w:r>
          </w:p>
        </w:tc>
      </w:tr>
      <w:tr>
        <w:trPr>
          <w:cantSplit/>
        </w:trPr>
        <w:tc>
          <w:tcPr>
            <w:tcW w:type="dxa" w:w="2608"/>
          </w:tcPr>
          <w:p>
            <w:pPr>
              <w:spacing w:after="20"/>
            </w:pPr>
            <w:r/>
            <w:r>
              <w:rPr>
                <w:b/>
                <w:sz w:val="19"/>
              </w:rPr>
              <w:t>Output attendu (non reçu)</w:t>
            </w:r>
          </w:p>
        </w:tc>
        <w:tc>
          <w:tcPr>
            <w:tcW w:type="dxa" w:w="6803"/>
          </w:tcPr>
          <w:p>
            <w:pPr>
              <w:spacing w:after="20"/>
            </w:pPr>
            <w:r/>
            <w:r>
              <w:rPr>
                <w:sz w:val="19"/>
              </w:rPr>
              <w:t>Confirmation de la capacité d'appel du personnel administratif</w:t>
            </w:r>
          </w:p>
        </w:tc>
      </w:tr>
      <w:tr>
        <w:trPr>
          <w:cantSplit/>
        </w:trPr>
        <w:tc>
          <w:tcPr>
            <w:tcW w:type="dxa" w:w="2608"/>
            <w:shd w:val="clear" w:color="auto" w:fill="EEF7F6"/>
          </w:tcPr>
          <w:p>
            <w:pPr>
              <w:spacing w:after="20"/>
            </w:pPr>
            <w:r/>
            <w:r>
              <w:rPr>
                <w:b/>
                <w:sz w:val="19"/>
              </w:rPr>
              <w:t>Ce qui a changé</w:t>
            </w:r>
          </w:p>
        </w:tc>
        <w:tc>
          <w:tcPr>
            <w:tcW w:type="dxa" w:w="6803"/>
            <w:shd w:val="clear" w:color="auto" w:fill="EEF7F6"/>
          </w:tcPr>
          <w:p>
            <w:pPr>
              <w:spacing w:after="20"/>
            </w:pPr>
            <w:r/>
            <w:r>
              <w:rPr>
                <w:sz w:val="19"/>
              </w:rPr>
              <w:t>La recommandation « alerter tous les RDV à ≥ 0,40 » (S7) devient un protocole à 3 niveaux : les appels coûteux sont limités à ~206 RDV / 1 000 au lieu de 723</w:t>
            </w:r>
          </w:p>
        </w:tc>
      </w:tr>
      <w:tr>
        <w:trPr>
          <w:cantSplit/>
        </w:trPr>
        <w:tc>
          <w:tcPr>
            <w:tcW w:type="dxa" w:w="2608"/>
          </w:tcPr>
          <w:p>
            <w:pPr>
              <w:spacing w:after="20"/>
            </w:pPr>
            <w:r/>
            <w:r>
              <w:rPr>
                <w:b/>
                <w:sz w:val="19"/>
              </w:rPr>
              <w:t>Preuve</w:t>
            </w:r>
          </w:p>
        </w:tc>
        <w:tc>
          <w:tcPr>
            <w:tcW w:type="dxa" w:w="6803"/>
          </w:tcPr>
          <w:p>
            <w:pPr>
              <w:spacing w:after="20"/>
            </w:pPr>
            <w:r/>
            <w:r>
              <w:rPr>
                <w:sz w:val="19"/>
              </w:rPr>
              <w:t>Section 4 du script (charge opérationnelle) ; section 7.1 du présent rapport</w:t>
            </w:r>
          </w:p>
        </w:tc>
      </w:tr>
    </w:tbl>
    <w:p>
      <w:pPr>
        <w:spacing w:after="40"/>
      </w:pPr>
    </w:p>
    <w:p>
      <w:pPr>
        <w:pStyle w:val="Heading2"/>
      </w:pPr>
      <w:r>
        <w:t>8.3 Data Analytics → ML Engineering (spécification du modèle final)</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4706"/>
        <w:gridCol w:w="4706"/>
      </w:tblGrid>
      <w:tr>
        <w:trPr>
          <w:tblHeader w:val="true"/>
          <w:cantSplit/>
        </w:trPr>
        <w:tc>
          <w:tcPr>
            <w:tcW w:type="dxa" w:w="2608"/>
            <w:shd w:val="clear" w:color="auto" w:fill="155A53"/>
          </w:tcPr>
          <w:p>
            <w:r/>
            <w:r>
              <w:rPr>
                <w:b/>
                <w:color w:val="FFFFFF"/>
                <w:sz w:val="19"/>
              </w:rPr>
              <w:t>Élément</w:t>
            </w:r>
          </w:p>
        </w:tc>
        <w:tc>
          <w:tcPr>
            <w:tcW w:type="dxa" w:w="6803"/>
            <w:shd w:val="clear" w:color="auto" w:fill="155A53"/>
          </w:tcPr>
          <w:p>
            <w:r/>
            <w:r>
              <w:rPr>
                <w:b/>
                <w:color w:val="FFFFFF"/>
                <w:sz w:val="19"/>
              </w:rPr>
              <w:t>Spécification</w:t>
            </w:r>
          </w:p>
        </w:tc>
      </w:tr>
      <w:tr>
        <w:trPr>
          <w:cantSplit/>
        </w:trPr>
        <w:tc>
          <w:tcPr>
            <w:tcW w:type="dxa" w:w="2608"/>
          </w:tcPr>
          <w:p>
            <w:pPr>
              <w:spacing w:after="20"/>
            </w:pPr>
            <w:r/>
            <w:r>
              <w:rPr>
                <w:b/>
                <w:sz w:val="19"/>
              </w:rPr>
              <w:t>Entrées</w:t>
            </w:r>
          </w:p>
        </w:tc>
        <w:tc>
          <w:tcPr>
            <w:tcW w:type="dxa" w:w="6803"/>
          </w:tcPr>
          <w:p>
            <w:pPr>
              <w:spacing w:after="20"/>
            </w:pPr>
            <w:r/>
            <w:r>
              <w:rPr>
                <w:sz w:val="19"/>
              </w:rPr>
              <w:t>booking_lead_days (entier, 0-60), previous_no_shows (entier ≥ 0), distance_to_clinic_km (réel, médiane imputée si manquant), reminder_sent (Yes/No → 1/0)</w:t>
            </w:r>
          </w:p>
        </w:tc>
      </w:tr>
      <w:tr>
        <w:trPr>
          <w:cantSplit/>
        </w:trPr>
        <w:tc>
          <w:tcPr>
            <w:tcW w:type="dxa" w:w="2608"/>
            <w:shd w:val="clear" w:color="auto" w:fill="EEF7F6"/>
          </w:tcPr>
          <w:p>
            <w:pPr>
              <w:spacing w:after="20"/>
            </w:pPr>
            <w:r/>
            <w:r>
              <w:rPr>
                <w:b/>
                <w:sz w:val="19"/>
              </w:rPr>
              <w:t>Prétraitement</w:t>
            </w:r>
          </w:p>
        </w:tc>
        <w:tc>
          <w:tcPr>
            <w:tcW w:type="dxa" w:w="6803"/>
            <w:shd w:val="clear" w:color="auto" w:fill="EEF7F6"/>
          </w:tcPr>
          <w:p>
            <w:pPr>
              <w:spacing w:after="20"/>
            </w:pPr>
            <w:r/>
            <w:r>
              <w:rPr>
                <w:sz w:val="19"/>
              </w:rPr>
              <w:t>StandardScaler ajusté sur les données d'entraînement uniquement, puis LogisticRegression (random_state = 42)</w:t>
            </w:r>
          </w:p>
        </w:tc>
      </w:tr>
      <w:tr>
        <w:trPr>
          <w:cantSplit/>
        </w:trPr>
        <w:tc>
          <w:tcPr>
            <w:tcW w:type="dxa" w:w="2608"/>
          </w:tcPr>
          <w:p>
            <w:pPr>
              <w:spacing w:after="20"/>
            </w:pPr>
            <w:r/>
            <w:r>
              <w:rPr>
                <w:b/>
                <w:sz w:val="19"/>
              </w:rPr>
              <w:t>Périmètre</w:t>
            </w:r>
          </w:p>
        </w:tc>
        <w:tc>
          <w:tcPr>
            <w:tcW w:type="dxa" w:w="6803"/>
          </w:tcPr>
          <w:p>
            <w:pPr>
              <w:spacing w:after="20"/>
            </w:pPr>
            <w:r/>
            <w:r>
              <w:rPr>
                <w:sz w:val="19"/>
              </w:rPr>
              <w:t>Rendez-vous non annulés uniquement</w:t>
            </w:r>
          </w:p>
        </w:tc>
      </w:tr>
      <w:tr>
        <w:trPr>
          <w:cantSplit/>
        </w:trPr>
        <w:tc>
          <w:tcPr>
            <w:tcW w:type="dxa" w:w="2608"/>
            <w:shd w:val="clear" w:color="auto" w:fill="EEF7F6"/>
          </w:tcPr>
          <w:p>
            <w:pPr>
              <w:spacing w:after="20"/>
            </w:pPr>
            <w:r/>
            <w:r>
              <w:rPr>
                <w:b/>
                <w:sz w:val="19"/>
              </w:rPr>
              <w:t>Sorties</w:t>
            </w:r>
          </w:p>
        </w:tc>
        <w:tc>
          <w:tcPr>
            <w:tcW w:type="dxa" w:w="6803"/>
            <w:shd w:val="clear" w:color="auto" w:fill="EEF7F6"/>
          </w:tcPr>
          <w:p>
            <w:pPr>
              <w:spacing w:after="20"/>
            </w:pPr>
            <w:r/>
            <w:r>
              <w:rPr>
                <w:sz w:val="19"/>
              </w:rPr>
              <w:t>noshow_probability (0-1), noshow_flag (probabilité ≥ 0,40), risk_segment (règle délai &gt; 30 j / historique ≥ 1), reminder_tier (1, 2 ou 3)</w:t>
            </w:r>
          </w:p>
        </w:tc>
      </w:tr>
      <w:tr>
        <w:trPr>
          <w:cantSplit/>
        </w:trPr>
        <w:tc>
          <w:tcPr>
            <w:tcW w:type="dxa" w:w="2608"/>
          </w:tcPr>
          <w:p>
            <w:pPr>
              <w:spacing w:after="20"/>
            </w:pPr>
            <w:r/>
            <w:r>
              <w:rPr>
                <w:b/>
                <w:sz w:val="19"/>
              </w:rPr>
              <w:t>Reproductibilité</w:t>
            </w:r>
          </w:p>
        </w:tc>
        <w:tc>
          <w:tcPr>
            <w:tcW w:type="dxa" w:w="6803"/>
          </w:tcPr>
          <w:p>
            <w:pPr>
              <w:spacing w:after="20"/>
            </w:pPr>
            <w:r/>
            <w:r>
              <w:rPr>
                <w:sz w:val="19"/>
              </w:rPr>
              <w:t>Chemins relatifs ; random_state fixés ; dépendances : pandas, scikit-learn, matplotlib</w:t>
            </w:r>
          </w:p>
        </w:tc>
      </w:tr>
      <w:tr>
        <w:trPr>
          <w:cantSplit/>
        </w:trPr>
        <w:tc>
          <w:tcPr>
            <w:tcW w:type="dxa" w:w="2608"/>
            <w:shd w:val="clear" w:color="auto" w:fill="EEF7F6"/>
          </w:tcPr>
          <w:p>
            <w:pPr>
              <w:spacing w:after="20"/>
            </w:pPr>
            <w:r/>
            <w:r>
              <w:rPr>
                <w:b/>
                <w:sz w:val="19"/>
              </w:rPr>
              <w:t>Output attendu (non reçu)</w:t>
            </w:r>
          </w:p>
        </w:tc>
        <w:tc>
          <w:tcPr>
            <w:tcW w:type="dxa" w:w="6803"/>
            <w:shd w:val="clear" w:color="auto" w:fill="EEF7F6"/>
          </w:tcPr>
          <w:p>
            <w:pPr>
              <w:spacing w:after="20"/>
            </w:pPr>
            <w:r/>
            <w:r>
              <w:rPr>
                <w:sz w:val="19"/>
              </w:rPr>
              <w:t>Contraintes du pipeline (format d'entrée, fréquence de scoring)</w:t>
            </w:r>
          </w:p>
        </w:tc>
      </w:tr>
    </w:tbl>
    <w:p>
      <w:pPr>
        <w:spacing w:after="40"/>
      </w:pPr>
    </w:p>
    <w:p>
      <w:pPr>
        <w:pStyle w:val="Heading2"/>
      </w:pPr>
      <w:r>
        <w:t>8.4 Data Analytics → Generative AI</w:t>
      </w:r>
    </w:p>
    <w:p>
      <w:r>
        <w:rPr>
          <w:i w:val="0"/>
        </w:rPr>
        <w:t>L'assistant administratif doit rester dans le périmètre de la Knowledge Base et ne jamais inventer d'information clinique. La contribution Data Analytics se limite donc à une règle d'orchestration, et non à du contenu de réponse : un rendez-vous de niveau 1 (High Risk) doit être orienté vers une confirmation humaine plutôt que traité uniquement par l'assistant. Le score de risque n'est jamais communiqué au patient.</w:t>
      </w:r>
    </w:p>
    <w:p>
      <w:pPr>
        <w:pStyle w:val="Heading2"/>
      </w:pPr>
      <w:r>
        <w:t>8.5 Matrice d'intégration finale (contribution Data Analytics)</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3137"/>
        <w:gridCol w:w="3137"/>
        <w:gridCol w:w="3137"/>
      </w:tblGrid>
      <w:tr>
        <w:trPr>
          <w:tblHeader w:val="true"/>
          <w:cantSplit/>
        </w:trPr>
        <w:tc>
          <w:tcPr>
            <w:tcW w:type="dxa" w:w="2948"/>
            <w:shd w:val="clear" w:color="auto" w:fill="155A53"/>
          </w:tcPr>
          <w:p>
            <w:r/>
            <w:r>
              <w:rPr>
                <w:b/>
                <w:color w:val="FFFFFF"/>
                <w:sz w:val="19"/>
              </w:rPr>
              <w:t>Flux</w:t>
            </w:r>
          </w:p>
        </w:tc>
        <w:tc>
          <w:tcPr>
            <w:tcW w:type="dxa" w:w="4309"/>
            <w:shd w:val="clear" w:color="auto" w:fill="155A53"/>
          </w:tcPr>
          <w:p>
            <w:r/>
            <w:r>
              <w:rPr>
                <w:b/>
                <w:color w:val="FFFFFF"/>
                <w:sz w:val="19"/>
              </w:rPr>
              <w:t>Contribution finale</w:t>
            </w:r>
          </w:p>
        </w:tc>
        <w:tc>
          <w:tcPr>
            <w:tcW w:type="dxa" w:w="2154"/>
            <w:shd w:val="clear" w:color="auto" w:fill="155A53"/>
          </w:tcPr>
          <w:p>
            <w:r/>
            <w:r>
              <w:rPr>
                <w:b/>
                <w:color w:val="FFFFFF"/>
                <w:sz w:val="19"/>
              </w:rPr>
              <w:t>Statut</w:t>
            </w:r>
          </w:p>
        </w:tc>
      </w:tr>
      <w:tr>
        <w:trPr>
          <w:cantSplit/>
        </w:trPr>
        <w:tc>
          <w:tcPr>
            <w:tcW w:type="dxa" w:w="2948"/>
          </w:tcPr>
          <w:p>
            <w:pPr>
              <w:spacing w:after="20"/>
            </w:pPr>
            <w:r/>
            <w:r>
              <w:rPr>
                <w:b/>
                <w:sz w:val="19"/>
              </w:rPr>
              <w:t>Data Analytics → Data Science</w:t>
            </w:r>
          </w:p>
        </w:tc>
        <w:tc>
          <w:tcPr>
            <w:tcW w:type="dxa" w:w="4309"/>
          </w:tcPr>
          <w:p>
            <w:pPr>
              <w:spacing w:after="20"/>
            </w:pPr>
            <w:r/>
            <w:r>
              <w:rPr>
                <w:sz w:val="19"/>
              </w:rPr>
              <w:t>Features validées, segments, CV du seuil, définition corrigée des erreurs</w:t>
            </w:r>
          </w:p>
        </w:tc>
        <w:tc>
          <w:tcPr>
            <w:tcW w:type="dxa" w:w="2154"/>
          </w:tcPr>
          <w:p>
            <w:pPr>
              <w:spacing w:after="20"/>
            </w:pPr>
            <w:r/>
            <w:r>
              <w:rPr>
                <w:sz w:val="19"/>
              </w:rPr>
              <w:t>Intégré et testé</w:t>
            </w:r>
          </w:p>
        </w:tc>
      </w:tr>
      <w:tr>
        <w:trPr>
          <w:cantSplit/>
        </w:trPr>
        <w:tc>
          <w:tcPr>
            <w:tcW w:type="dxa" w:w="2948"/>
            <w:shd w:val="clear" w:color="auto" w:fill="EEF7F6"/>
          </w:tcPr>
          <w:p>
            <w:pPr>
              <w:spacing w:after="20"/>
            </w:pPr>
            <w:r/>
            <w:r>
              <w:rPr>
                <w:b/>
                <w:sz w:val="19"/>
              </w:rPr>
              <w:t>Data Science → Data Analytics</w:t>
            </w:r>
          </w:p>
        </w:tc>
        <w:tc>
          <w:tcPr>
            <w:tcW w:type="dxa" w:w="4309"/>
            <w:shd w:val="clear" w:color="auto" w:fill="EEF7F6"/>
          </w:tcPr>
          <w:p>
            <w:pPr>
              <w:spacing w:after="20"/>
            </w:pPr>
            <w:r/>
            <w:r>
              <w:rPr>
                <w:sz w:val="19"/>
              </w:rPr>
              <w:t>Modèle candidat à seuil 0,40</w:t>
            </w:r>
          </w:p>
        </w:tc>
        <w:tc>
          <w:tcPr>
            <w:tcW w:type="dxa" w:w="2154"/>
            <w:shd w:val="clear" w:color="auto" w:fill="EEF7F6"/>
          </w:tcPr>
          <w:p>
            <w:pPr>
              <w:spacing w:after="20"/>
            </w:pPr>
            <w:r/>
            <w:r>
              <w:rPr>
                <w:sz w:val="19"/>
              </w:rPr>
              <w:t>Intégré (rôle auto-assumé)</w:t>
            </w:r>
          </w:p>
        </w:tc>
      </w:tr>
      <w:tr>
        <w:trPr>
          <w:cantSplit/>
        </w:trPr>
        <w:tc>
          <w:tcPr>
            <w:tcW w:type="dxa" w:w="2948"/>
          </w:tcPr>
          <w:p>
            <w:pPr>
              <w:spacing w:after="20"/>
            </w:pPr>
            <w:r/>
            <w:r>
              <w:rPr>
                <w:b/>
                <w:sz w:val="19"/>
              </w:rPr>
              <w:t>Data Analytics → Project Management</w:t>
            </w:r>
          </w:p>
        </w:tc>
        <w:tc>
          <w:tcPr>
            <w:tcW w:type="dxa" w:w="4309"/>
          </w:tcPr>
          <w:p>
            <w:pPr>
              <w:spacing w:after="20"/>
            </w:pPr>
            <w:r/>
            <w:r>
              <w:rPr>
                <w:sz w:val="19"/>
              </w:rPr>
              <w:t>Insights, table de décision, charge opérationnelle, KPIs de suivi</w:t>
            </w:r>
          </w:p>
        </w:tc>
        <w:tc>
          <w:tcPr>
            <w:tcW w:type="dxa" w:w="2154"/>
          </w:tcPr>
          <w:p>
            <w:pPr>
              <w:spacing w:after="20"/>
            </w:pPr>
            <w:r/>
            <w:r>
              <w:rPr>
                <w:sz w:val="19"/>
              </w:rPr>
              <w:t>Fourni ; confirmation attendue</w:t>
            </w:r>
          </w:p>
        </w:tc>
      </w:tr>
      <w:tr>
        <w:trPr>
          <w:cantSplit/>
        </w:trPr>
        <w:tc>
          <w:tcPr>
            <w:tcW w:type="dxa" w:w="2948"/>
            <w:shd w:val="clear" w:color="auto" w:fill="EEF7F6"/>
          </w:tcPr>
          <w:p>
            <w:pPr>
              <w:spacing w:after="20"/>
            </w:pPr>
            <w:r/>
            <w:r>
              <w:rPr>
                <w:b/>
                <w:sz w:val="19"/>
              </w:rPr>
              <w:t>Data Analytics → ML Engineering</w:t>
            </w:r>
          </w:p>
        </w:tc>
        <w:tc>
          <w:tcPr>
            <w:tcW w:type="dxa" w:w="4309"/>
            <w:shd w:val="clear" w:color="auto" w:fill="EEF7F6"/>
          </w:tcPr>
          <w:p>
            <w:pPr>
              <w:spacing w:after="20"/>
            </w:pPr>
            <w:r/>
            <w:r>
              <w:rPr>
                <w:sz w:val="19"/>
              </w:rPr>
              <w:t>Spécification entrée / sortie du modèle final</w:t>
            </w:r>
          </w:p>
        </w:tc>
        <w:tc>
          <w:tcPr>
            <w:tcW w:type="dxa" w:w="2154"/>
            <w:shd w:val="clear" w:color="auto" w:fill="EEF7F6"/>
          </w:tcPr>
          <w:p>
            <w:pPr>
              <w:spacing w:after="20"/>
            </w:pPr>
            <w:r/>
            <w:r>
              <w:rPr>
                <w:sz w:val="19"/>
              </w:rPr>
              <w:t>Fourni ; contraintes attendues</w:t>
            </w:r>
          </w:p>
        </w:tc>
      </w:tr>
      <w:tr>
        <w:trPr>
          <w:cantSplit/>
        </w:trPr>
        <w:tc>
          <w:tcPr>
            <w:tcW w:type="dxa" w:w="2948"/>
          </w:tcPr>
          <w:p>
            <w:pPr>
              <w:spacing w:after="20"/>
            </w:pPr>
            <w:r/>
            <w:r>
              <w:rPr>
                <w:b/>
                <w:sz w:val="19"/>
              </w:rPr>
              <w:t>Data Analytics → Generative AI</w:t>
            </w:r>
          </w:p>
        </w:tc>
        <w:tc>
          <w:tcPr>
            <w:tcW w:type="dxa" w:w="4309"/>
          </w:tcPr>
          <w:p>
            <w:pPr>
              <w:spacing w:after="20"/>
            </w:pPr>
            <w:r/>
            <w:r>
              <w:rPr>
                <w:sz w:val="19"/>
              </w:rPr>
              <w:t>Règle d'escalade humaine pour le niveau 1</w:t>
            </w:r>
          </w:p>
        </w:tc>
        <w:tc>
          <w:tcPr>
            <w:tcW w:type="dxa" w:w="2154"/>
          </w:tcPr>
          <w:p>
            <w:pPr>
              <w:spacing w:after="20"/>
            </w:pPr>
            <w:r/>
            <w:r>
              <w:rPr>
                <w:sz w:val="19"/>
              </w:rPr>
              <w:t>Fourni</w:t>
            </w:r>
          </w:p>
        </w:tc>
      </w:tr>
    </w:tbl>
    <w:p>
      <w:pPr>
        <w:spacing w:after="40"/>
      </w:pPr>
    </w:p>
    <w:p>
      <w:pPr>
        <w:pStyle w:val="Heading1"/>
      </w:pPr>
      <w:r>
        <w:t>9. Contribution à la Démonstration End-to-End</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4706"/>
        <w:gridCol w:w="4706"/>
      </w:tblGrid>
      <w:tr>
        <w:trPr>
          <w:tblHeader w:val="true"/>
          <w:cantSplit/>
        </w:trPr>
        <w:tc>
          <w:tcPr>
            <w:tcW w:type="dxa" w:w="2835"/>
            <w:shd w:val="clear" w:color="auto" w:fill="155A53"/>
          </w:tcPr>
          <w:p>
            <w:r/>
            <w:r>
              <w:rPr>
                <w:b/>
                <w:color w:val="FFFFFF"/>
                <w:sz w:val="19"/>
              </w:rPr>
              <w:t>Étape du walkthrough</w:t>
            </w:r>
          </w:p>
        </w:tc>
        <w:tc>
          <w:tcPr>
            <w:tcW w:type="dxa" w:w="6576"/>
            <w:shd w:val="clear" w:color="auto" w:fill="155A53"/>
          </w:tcPr>
          <w:p>
            <w:r/>
            <w:r>
              <w:rPr>
                <w:b/>
                <w:color w:val="FFFFFF"/>
                <w:sz w:val="19"/>
              </w:rPr>
              <w:t>Contribution Data Analytics</w:t>
            </w:r>
          </w:p>
        </w:tc>
      </w:tr>
      <w:tr>
        <w:trPr>
          <w:cantSplit/>
        </w:trPr>
        <w:tc>
          <w:tcPr>
            <w:tcW w:type="dxa" w:w="2835"/>
          </w:tcPr>
          <w:p>
            <w:pPr>
              <w:spacing w:after="20"/>
            </w:pPr>
            <w:r/>
            <w:r>
              <w:rPr>
                <w:b/>
                <w:sz w:val="19"/>
              </w:rPr>
              <w:t>1. Le problème</w:t>
            </w:r>
          </w:p>
        </w:tc>
        <w:tc>
          <w:tcPr>
            <w:tcW w:type="dxa" w:w="6576"/>
          </w:tcPr>
          <w:p>
            <w:pPr>
              <w:spacing w:after="20"/>
            </w:pPr>
            <w:r/>
            <w:r>
              <w:rPr>
                <w:sz w:val="19"/>
              </w:rPr>
              <w:t>48,46% de no-show : près d'un créneau sur deux est perdu</w:t>
            </w:r>
          </w:p>
        </w:tc>
      </w:tr>
      <w:tr>
        <w:trPr>
          <w:cantSplit/>
        </w:trPr>
        <w:tc>
          <w:tcPr>
            <w:tcW w:type="dxa" w:w="2835"/>
            <w:shd w:val="clear" w:color="auto" w:fill="EEF7F6"/>
          </w:tcPr>
          <w:p>
            <w:pPr>
              <w:spacing w:after="20"/>
            </w:pPr>
            <w:r/>
            <w:r>
              <w:rPr>
                <w:b/>
                <w:sz w:val="19"/>
              </w:rPr>
              <w:t>2. Les données</w:t>
            </w:r>
          </w:p>
        </w:tc>
        <w:tc>
          <w:tcPr>
            <w:tcW w:type="dxa" w:w="6576"/>
            <w:shd w:val="clear" w:color="auto" w:fill="EEF7F6"/>
          </w:tcPr>
          <w:p>
            <w:pPr>
              <w:spacing w:after="20"/>
            </w:pPr>
            <w:r/>
            <w:r>
              <w:rPr>
                <w:sz w:val="19"/>
              </w:rPr>
              <w:t>5 000 RDV, 18 variables ; copie nettoyée séparée (valeurs manquantes documentées en S5)</w:t>
            </w:r>
          </w:p>
        </w:tc>
      </w:tr>
      <w:tr>
        <w:trPr>
          <w:cantSplit/>
        </w:trPr>
        <w:tc>
          <w:tcPr>
            <w:tcW w:type="dxa" w:w="2835"/>
          </w:tcPr>
          <w:p>
            <w:pPr>
              <w:spacing w:after="20"/>
            </w:pPr>
            <w:r/>
            <w:r>
              <w:rPr>
                <w:b/>
                <w:sz w:val="19"/>
              </w:rPr>
              <w:t>3. L'analytique</w:t>
            </w:r>
          </w:p>
        </w:tc>
        <w:tc>
          <w:tcPr>
            <w:tcW w:type="dxa" w:w="6576"/>
          </w:tcPr>
          <w:p>
            <w:pPr>
              <w:spacing w:after="20"/>
            </w:pPr>
            <w:r/>
            <w:r>
              <w:rPr>
                <w:sz w:val="19"/>
              </w:rPr>
              <w:t>Délai et historique = leviers n°1 et n°2 ; 20,6 % des RDV concentrent le risque le plus élevé</w:t>
            </w:r>
          </w:p>
        </w:tc>
      </w:tr>
      <w:tr>
        <w:trPr>
          <w:cantSplit/>
        </w:trPr>
        <w:tc>
          <w:tcPr>
            <w:tcW w:type="dxa" w:w="2835"/>
            <w:shd w:val="clear" w:color="auto" w:fill="EEF7F6"/>
          </w:tcPr>
          <w:p>
            <w:pPr>
              <w:spacing w:after="20"/>
            </w:pPr>
            <w:r/>
            <w:r>
              <w:rPr>
                <w:b/>
                <w:sz w:val="19"/>
              </w:rPr>
              <w:t>4. Le composant prédictif</w:t>
            </w:r>
          </w:p>
        </w:tc>
        <w:tc>
          <w:tcPr>
            <w:tcW w:type="dxa" w:w="6576"/>
            <w:shd w:val="clear" w:color="auto" w:fill="EEF7F6"/>
          </w:tcPr>
          <w:p>
            <w:pPr>
              <w:spacing w:after="20"/>
            </w:pPr>
            <w:r/>
            <w:r>
              <w:rPr>
                <w:sz w:val="19"/>
              </w:rPr>
              <w:t>4 features validées ; seuil 0,40 confirmé par CV ; limites d'usage définies</w:t>
            </w:r>
          </w:p>
        </w:tc>
      </w:tr>
      <w:tr>
        <w:trPr>
          <w:cantSplit/>
        </w:trPr>
        <w:tc>
          <w:tcPr>
            <w:tcW w:type="dxa" w:w="2835"/>
          </w:tcPr>
          <w:p>
            <w:pPr>
              <w:spacing w:after="20"/>
            </w:pPr>
            <w:r/>
            <w:r>
              <w:rPr>
                <w:b/>
                <w:sz w:val="19"/>
              </w:rPr>
              <w:t>8. La solution finale</w:t>
            </w:r>
          </w:p>
        </w:tc>
        <w:tc>
          <w:tcPr>
            <w:tcW w:type="dxa" w:w="6576"/>
          </w:tcPr>
          <w:p>
            <w:pPr>
              <w:spacing w:after="20"/>
            </w:pPr>
            <w:r/>
            <w:r>
              <w:rPr>
                <w:sz w:val="19"/>
              </w:rPr>
              <w:t>Score (DS/MLE) → niveau de rappel (DA) → action (personnel / SMS / assistant GenAI)</w:t>
            </w:r>
          </w:p>
        </w:tc>
      </w:tr>
      <w:tr>
        <w:trPr>
          <w:cantSplit/>
        </w:trPr>
        <w:tc>
          <w:tcPr>
            <w:tcW w:type="dxa" w:w="2835"/>
            <w:shd w:val="clear" w:color="auto" w:fill="EEF7F6"/>
          </w:tcPr>
          <w:p>
            <w:pPr>
              <w:spacing w:after="20"/>
            </w:pPr>
            <w:r/>
            <w:r>
              <w:rPr>
                <w:b/>
                <w:sz w:val="19"/>
              </w:rPr>
              <w:t>9. La valeur business</w:t>
            </w:r>
          </w:p>
        </w:tc>
        <w:tc>
          <w:tcPr>
            <w:tcW w:type="dxa" w:w="6576"/>
            <w:shd w:val="clear" w:color="auto" w:fill="EEF7F6"/>
          </w:tcPr>
          <w:p>
            <w:pPr>
              <w:spacing w:after="20"/>
            </w:pPr>
            <w:r/>
            <w:r>
              <w:rPr>
                <w:sz w:val="19"/>
              </w:rPr>
              <w:t>Actions proportionnées au risque ; zéro RDV sans rappel ; appels humains ciblés</w:t>
            </w:r>
          </w:p>
        </w:tc>
      </w:tr>
      <w:tr>
        <w:trPr>
          <w:cantSplit/>
        </w:trPr>
        <w:tc>
          <w:tcPr>
            <w:tcW w:type="dxa" w:w="2835"/>
          </w:tcPr>
          <w:p>
            <w:pPr>
              <w:spacing w:after="20"/>
            </w:pPr>
            <w:r/>
            <w:r>
              <w:rPr>
                <w:b/>
                <w:sz w:val="19"/>
              </w:rPr>
              <w:t>10. Les limites</w:t>
            </w:r>
          </w:p>
        </w:tc>
        <w:tc>
          <w:tcPr>
            <w:tcW w:type="dxa" w:w="6576"/>
          </w:tcPr>
          <w:p>
            <w:pPr>
              <w:spacing w:after="20"/>
            </w:pPr>
            <w:r/>
            <w:r>
              <w:rPr>
                <w:sz w:val="19"/>
              </w:rPr>
              <w:t>Corrélationnel, fictif, précision modérée (section 10)</w:t>
            </w:r>
          </w:p>
        </w:tc>
      </w:tr>
    </w:tbl>
    <w:p>
      <w:pPr>
        <w:spacing w:after="40"/>
      </w:pPr>
    </w:p>
    <w:p>
      <w:pPr>
        <w:pStyle w:val="Heading1"/>
      </w:pPr>
      <w:r>
        <w:t>10. Limites Analytiques</w:t>
      </w:r>
    </w:p>
    <w:p>
      <w:pPr>
        <w:pStyle w:val="ListBullet"/>
      </w:pPr>
      <w:r>
        <w:rPr>
          <w:b/>
        </w:rPr>
        <w:t xml:space="preserve">Corrélation, pas causalité : </w:t>
      </w:r>
      <w:r>
        <w:t>les effets du délai, du canal et de la distance sont observés, pas démontrés. Les scénarios chiffrés (~85 et ~111 no-shows évités) sont des bornes indicatives, à confirmer par un pilote avec groupe témoin.</w:t>
      </w:r>
    </w:p>
    <w:p>
      <w:pPr>
        <w:pStyle w:val="ListBullet"/>
      </w:pPr>
      <w:r>
        <w:rPr>
          <w:b/>
        </w:rPr>
        <w:t xml:space="preserve">Dataset fictif : </w:t>
      </w:r>
      <w:r>
        <w:t>le taux de no-show (48 %) dépasse largement les standards sectoriels (10-30 %) ; les ordres de grandeur ne sont pas transposables tels quels.</w:t>
      </w:r>
    </w:p>
    <w:p>
      <w:pPr>
        <w:pStyle w:val="ListBullet"/>
      </w:pPr>
      <w:r>
        <w:rPr>
          <w:b/>
        </w:rPr>
        <w:t xml:space="preserve">Pouvoir prédictif modéré : </w:t>
      </w:r>
      <w:r>
        <w:t>ROC-AUC 0,683, précision 0,59 : environ 300 fausses alertes pour 1 000 RDV à 0,40.</w:t>
      </w:r>
    </w:p>
    <w:p>
      <w:pPr>
        <w:pStyle w:val="ListBullet"/>
      </w:pPr>
      <w:r>
        <w:rPr>
          <w:b/>
        </w:rPr>
        <w:t xml:space="preserve">Le modèle recoupe largement la segmentation : </w:t>
      </w:r>
      <w:r>
        <w:t>à 0,40, il signale 100 % des RDV à délai &gt; 30 j ; sa valeur ajoutée se situe surtout parmi les RDV à délai court.</w:t>
      </w:r>
    </w:p>
    <w:p>
      <w:pPr>
        <w:pStyle w:val="ListBullet"/>
      </w:pPr>
      <w:r>
        <w:rPr>
          <w:b/>
        </w:rPr>
        <w:t xml:space="preserve">Segment Low Risk mal couvert : </w:t>
      </w:r>
      <w:r>
        <w:t>67,8% des no-shows de ce segment restent non détectés.</w:t>
      </w:r>
    </w:p>
    <w:p>
      <w:pPr>
        <w:pStyle w:val="ListBullet"/>
      </w:pPr>
      <w:r>
        <w:rPr>
          <w:b/>
        </w:rPr>
        <w:t xml:space="preserve">Canal de rappel non randomisé : </w:t>
      </w:r>
      <w:r>
        <w:t>les patients recevant un SMS peuvent différer de ceux recevant WhatsApp ; l'effet canal peut être en partie confondu.</w:t>
      </w:r>
    </w:p>
    <w:p>
      <w:pPr>
        <w:pStyle w:val="ListBullet"/>
      </w:pPr>
      <w:r>
        <w:rPr>
          <w:b/>
        </w:rPr>
        <w:t xml:space="preserve">Pas de validation temporelle : </w:t>
      </w:r>
      <w:r>
        <w:t>la CV mélange les périodes ; un test sur les rendez-vous les plus récents serait la prochaine étape.</w:t>
      </w:r>
    </w:p>
    <w:p>
      <w:pPr>
        <w:pStyle w:val="ListBullet"/>
      </w:pPr>
      <w:r>
        <w:rPr>
          <w:b/>
        </w:rPr>
        <w:t xml:space="preserve">Annulations exclues et petits effectifs : </w:t>
      </w:r>
      <w:r>
        <w:t>les annulations tardives (5,26 %) ne sont pas modélisées ; les cellules à n &lt; 30 (heatmap, 30-50 km) sont indicatives.</w:t>
      </w:r>
    </w:p>
    <w:p>
      <w:pPr>
        <w:pStyle w:val="ListBullet"/>
      </w:pPr>
      <w:r>
        <w:rPr>
          <w:b/>
        </w:rPr>
        <w:t xml:space="preserve">Intégration HC-POD partielle : </w:t>
      </w:r>
      <w:r>
        <w:t>les retours des pistes Project Management et ML Engineering n'ont pas pu être obtenus (cohorte solo).</w:t>
      </w:r>
    </w:p>
    <w:p>
      <w:pPr>
        <w:pStyle w:val="Heading2"/>
      </w:pPr>
      <w:r>
        <w:t>Améliorations pour une version future</w:t>
      </w:r>
    </w:p>
    <w:p>
      <w:pPr>
        <w:pStyle w:val="ListBullet"/>
      </w:pPr>
      <w:r>
        <w:t>Pilote randomisé du protocole à 3 niveaux pour mesurer un effet causal.</w:t>
      </w:r>
    </w:p>
    <w:p>
      <w:pPr>
        <w:pStyle w:val="ListBullet"/>
      </w:pPr>
      <w:r>
        <w:t>Validation temporelle (entraîner sur 2025, tester sur 2026) et suivi mensuel de la dérive du modèle.</w:t>
      </w:r>
    </w:p>
    <w:p>
      <w:pPr>
        <w:pStyle w:val="ListBullet"/>
      </w:pPr>
      <w:r>
        <w:t>Ajout de variables absentes du dataset (motif de consultation, accès au transport) pour améliorer la précision.</w:t>
      </w:r>
    </w:p>
    <w:p>
      <w:pPr>
        <w:pStyle w:val="ListBullet"/>
      </w:pPr>
      <w:r>
        <w:t>Tableau de bord interactif (Power BI) alimenté directement par outputs/final_kpis.json.</w:t>
      </w:r>
    </w:p>
    <w:p>
      <w:pPr>
        <w:pStyle w:val="Heading1"/>
      </w:pPr>
      <w:r>
        <w:t>Annexe — Fichiers et Reproductibilité</w:t>
      </w:r>
    </w:p>
    <w:tbl>
      <w:tblPr>
        <w:tblW w:type="auto" w:w="0"/>
        <w:jc w:val="center"/>
        <w:tblBorders>
          <w:top w:val="single" w:sz="4" w:color="C3C2B7"/>
          <w:left w:val="single" w:sz="4" w:color="C3C2B7"/>
          <w:bottom w:val="single" w:sz="4" w:color="C3C2B7"/>
          <w:right w:val="single" w:sz="4" w:color="C3C2B7"/>
          <w:insideH w:val="single" w:sz="4" w:color="C3C2B7"/>
          <w:insideV w:val="single" w:sz="4" w:color="C3C2B7"/>
        </w:tblBorders>
        <w:tblLayout w:type="fixed"/>
        <w:tblLook w:firstColumn="1" w:firstRow="1" w:lastColumn="0" w:lastRow="0" w:noHBand="0" w:noVBand="1" w:val="04A0"/>
      </w:tblPr>
      <w:tblGrid>
        <w:gridCol w:w="4706"/>
        <w:gridCol w:w="4706"/>
      </w:tblGrid>
      <w:tr>
        <w:trPr>
          <w:tblHeader w:val="true"/>
          <w:cantSplit/>
        </w:trPr>
        <w:tc>
          <w:tcPr>
            <w:tcW w:type="dxa" w:w="3628"/>
            <w:shd w:val="clear" w:color="auto" w:fill="155A53"/>
          </w:tcPr>
          <w:p>
            <w:r/>
            <w:r>
              <w:rPr>
                <w:b/>
                <w:color w:val="FFFFFF"/>
                <w:sz w:val="19"/>
              </w:rPr>
              <w:t>Fichier</w:t>
            </w:r>
          </w:p>
        </w:tc>
        <w:tc>
          <w:tcPr>
            <w:tcW w:type="dxa" w:w="5783"/>
            <w:shd w:val="clear" w:color="auto" w:fill="155A53"/>
          </w:tcPr>
          <w:p>
            <w:r/>
            <w:r>
              <w:rPr>
                <w:b/>
                <w:color w:val="FFFFFF"/>
                <w:sz w:val="19"/>
              </w:rPr>
              <w:t>Contenu</w:t>
            </w:r>
          </w:p>
        </w:tc>
      </w:tr>
      <w:tr>
        <w:trPr>
          <w:cantSplit/>
        </w:trPr>
        <w:tc>
          <w:tcPr>
            <w:tcW w:type="dxa" w:w="3628"/>
          </w:tcPr>
          <w:p>
            <w:pPr>
              <w:spacing w:after="20"/>
            </w:pPr>
            <w:r/>
            <w:r>
              <w:rPr>
                <w:b/>
                <w:sz w:val="19"/>
              </w:rPr>
              <w:t>HealthConnect_Final_Analytics.py</w:t>
            </w:r>
          </w:p>
        </w:tc>
        <w:tc>
          <w:tcPr>
            <w:tcW w:type="dxa" w:w="5783"/>
          </w:tcPr>
          <w:p>
            <w:pPr>
              <w:spacing w:after="20"/>
            </w:pPr>
            <w:r/>
            <w:r>
              <w:rPr>
                <w:sz w:val="19"/>
              </w:rPr>
              <w:t>Recalcule les KPIs, valide les chiffres, CV 5-fold, charge opérationnelle, génère les figures</w:t>
            </w:r>
          </w:p>
        </w:tc>
      </w:tr>
      <w:tr>
        <w:trPr>
          <w:cantSplit/>
        </w:trPr>
        <w:tc>
          <w:tcPr>
            <w:tcW w:type="dxa" w:w="3628"/>
            <w:shd w:val="clear" w:color="auto" w:fill="EEF7F6"/>
          </w:tcPr>
          <w:p>
            <w:pPr>
              <w:spacing w:after="20"/>
            </w:pPr>
            <w:r/>
            <w:r>
              <w:rPr>
                <w:b/>
                <w:sz w:val="19"/>
              </w:rPr>
              <w:t>outputs/final_kpis.json</w:t>
            </w:r>
          </w:p>
        </w:tc>
        <w:tc>
          <w:tcPr>
            <w:tcW w:type="dxa" w:w="5783"/>
            <w:shd w:val="clear" w:color="auto" w:fill="EEF7F6"/>
          </w:tcPr>
          <w:p>
            <w:pPr>
              <w:spacing w:after="20"/>
            </w:pPr>
            <w:r/>
            <w:r>
              <w:rPr>
                <w:sz w:val="19"/>
              </w:rPr>
              <w:t>Tous les chiffres finaux (source unique du rapport et des slides)</w:t>
            </w:r>
          </w:p>
        </w:tc>
      </w:tr>
      <w:tr>
        <w:trPr>
          <w:cantSplit/>
        </w:trPr>
        <w:tc>
          <w:tcPr>
            <w:tcW w:type="dxa" w:w="3628"/>
          </w:tcPr>
          <w:p>
            <w:pPr>
              <w:spacing w:after="20"/>
            </w:pPr>
            <w:r/>
            <w:r>
              <w:rPr>
                <w:b/>
                <w:sz w:val="19"/>
              </w:rPr>
              <w:t>figures/</w:t>
            </w:r>
          </w:p>
        </w:tc>
        <w:tc>
          <w:tcPr>
            <w:tcW w:type="dxa" w:w="5783"/>
          </w:tcPr>
          <w:p>
            <w:pPr>
              <w:spacing w:after="20"/>
            </w:pPr>
            <w:r/>
            <w:r>
              <w:rPr>
                <w:sz w:val="19"/>
              </w:rPr>
              <w:t>Tableau de bord et 6 graphiques (PNG, 200 dpi)</w:t>
            </w:r>
          </w:p>
        </w:tc>
      </w:tr>
      <w:tr>
        <w:trPr>
          <w:cantSplit/>
        </w:trPr>
        <w:tc>
          <w:tcPr>
            <w:tcW w:type="dxa" w:w="3628"/>
            <w:shd w:val="clear" w:color="auto" w:fill="EEF7F6"/>
          </w:tcPr>
          <w:p>
            <w:pPr>
              <w:spacing w:after="20"/>
            </w:pPr>
            <w:r/>
            <w:r>
              <w:rPr>
                <w:b/>
                <w:sz w:val="19"/>
              </w:rPr>
              <w:t>HealthConnect_Final_Analytics_Presentation.pptx</w:t>
            </w:r>
          </w:p>
        </w:tc>
        <w:tc>
          <w:tcPr>
            <w:tcW w:type="dxa" w:w="5783"/>
            <w:shd w:val="clear" w:color="auto" w:fill="EEF7F6"/>
          </w:tcPr>
          <w:p>
            <w:pPr>
              <w:spacing w:after="20"/>
            </w:pPr>
            <w:r/>
            <w:r>
              <w:rPr>
                <w:sz w:val="19"/>
              </w:rPr>
              <w:t>Section analytique de la présentation finale</w:t>
            </w:r>
          </w:p>
        </w:tc>
      </w:tr>
      <w:tr>
        <w:trPr>
          <w:cantSplit/>
        </w:trPr>
        <w:tc>
          <w:tcPr>
            <w:tcW w:type="dxa" w:w="3628"/>
          </w:tcPr>
          <w:p>
            <w:pPr>
              <w:spacing w:after="20"/>
            </w:pPr>
            <w:r/>
            <w:r>
              <w:rPr>
                <w:b/>
                <w:sz w:val="19"/>
              </w:rPr>
              <w:t>Week8_Project_Summary.docx</w:t>
            </w:r>
          </w:p>
        </w:tc>
        <w:tc>
          <w:tcPr>
            <w:tcW w:type="dxa" w:w="5783"/>
          </w:tcPr>
          <w:p>
            <w:pPr>
              <w:spacing w:after="20"/>
            </w:pPr>
            <w:r/>
            <w:r>
              <w:rPr>
                <w:sz w:val="19"/>
              </w:rPr>
              <w:t>Synthèse hebdomadaire Semaine 8</w:t>
            </w:r>
          </w:p>
        </w:tc>
      </w:tr>
    </w:tbl>
    <w:p>
      <w:pPr>
        <w:spacing w:after="40"/>
      </w:pPr>
    </w:p>
    <w:p>
      <w:r>
        <w:rPr>
          <w:i w:val="0"/>
          <w:color w:val="52514E"/>
        </w:rPr>
        <w:t>Exécution : python HealthConnect_Final_Analytics.py (depuis le dossier week8-final-integration). Entrée : ../week5-analysis/HealthConnect_Appointment_Data_cleaned.csv.</w:t>
      </w:r>
    </w:p>
    <w:sectPr w:rsidR="00FC693F" w:rsidRPr="0006063C" w:rsidSect="00034616">
      <w:footerReference w:type="default" r:id="rId15"/>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HealthConnect Final Analytics &amp; Decision Support Package — Data Analytics, Semaine 8  ·  Page </w:t>
    </w:r>
    <w:r>
      <w:rPr>
        <w:color w:val="52514E"/>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cs="Calibri" w:eastAsia="Calibri"/>
      <w:b/>
      <w:bCs/>
      <w:color w:val="155A53"/>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cs="Calibri" w:eastAsia="Calibri"/>
      <w:b/>
      <w:bCs/>
      <w:color w:val="00897B"/>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cs="Calibri" w:eastAsia="Calibri"/>
      <w:b/>
      <w:bCs/>
      <w:color w:val="1F2A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