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Automatically</w:t>
      </w:r>
      <w:r>
        <w:rPr>
          <w:b/>
        </w:rPr>
        <w:t xml:space="preserve"> </w:t>
      </w:r>
      <w:r>
        <w:rPr>
          <w:b/>
        </w:rPr>
        <w:t xml:space="preserve">detecting</w:t>
      </w:r>
      <w:r>
        <w:rPr>
          <w:b/>
        </w:rPr>
        <w:t xml:space="preserve"> </w:t>
      </w:r>
      <w:r>
        <w:rPr>
          <w:b/>
        </w:rPr>
        <w:t xml:space="preserve">issues</w:t>
      </w:r>
      <w:r>
        <w:rPr>
          <w:b/>
        </w:rPr>
        <w:t xml:space="preserve"> </w:t>
      </w:r>
      <w:r>
        <w:rPr>
          <w:b/>
        </w:rPr>
        <w:t xml:space="preserve">with</w:t>
      </w:r>
      <w:r>
        <w:rPr>
          <w:b/>
        </w:rPr>
        <w:t xml:space="preserve"> </w:t>
      </w:r>
      <w:r>
        <w:rPr>
          <w:b/>
        </w:rPr>
        <w:t xml:space="preserve">randomised</w:t>
      </w:r>
      <w:r>
        <w:rPr>
          <w:b/>
        </w:rPr>
        <w:t xml:space="preserve"> </w:t>
      </w:r>
      <w:r>
        <w:rPr>
          <w:b/>
        </w:rPr>
        <w:t xml:space="preserve">controlled</w:t>
      </w:r>
      <w:r>
        <w:rPr>
          <w:b/>
        </w:rPr>
        <w:t xml:space="preserve"> </w:t>
      </w:r>
      <w:r>
        <w:rPr>
          <w:b/>
        </w:rPr>
        <w:t xml:space="preserve">trials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  <w:r>
        <w:rPr>
          <w:rStyle w:val="FootnoteReference"/>
        </w:rPr>
        <w:footnoteReference w:id="20"/>
      </w:r>
    </w:p>
    <w:p>
      <w:pPr>
        <w:pStyle w:val="FirstParagraph"/>
      </w:pPr>
      <w:r>
        <w:t xml:space="preserve">Word count: ?</w:t>
      </w:r>
    </w:p>
    <w:p>
      <w:r>
        <w:br w:type="page"/>
      </w:r>
    </w:p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</w:rPr>
        <w:t xml:space="preserve">Objectives</w:t>
      </w:r>
      <w:r>
        <w:t xml:space="preserve">:</w:t>
      </w:r>
    </w:p>
    <w:p>
      <w:pPr>
        <w:pStyle w:val="BodyText"/>
      </w:pPr>
      <w:r>
        <w:rPr>
          <w:i/>
        </w:rPr>
        <w:t xml:space="preserve">Design</w:t>
      </w:r>
      <w:r>
        <w:t xml:space="preserve">: Observational study.</w:t>
      </w:r>
    </w:p>
    <w:p>
      <w:pPr>
        <w:pStyle w:val="BodyText"/>
      </w:pPr>
      <w:r>
        <w:rPr>
          <w:i/>
        </w:rPr>
        <w:t xml:space="preserve">Setting</w:t>
      </w:r>
      <w:r>
        <w:t xml:space="preserve">: Published RCTs.</w:t>
      </w:r>
    </w:p>
    <w:p>
      <w:pPr>
        <w:pStyle w:val="BodyText"/>
      </w:pPr>
      <w:r>
        <w:rPr>
          <w:i/>
        </w:rPr>
        <w:t xml:space="preserve">Participants</w:t>
      </w:r>
      <w:r>
        <w:t xml:space="preserve">:</w:t>
      </w:r>
    </w:p>
    <w:p>
      <w:pPr>
        <w:pStyle w:val="BodyText"/>
      </w:pPr>
      <w:r>
        <w:rPr>
          <w:i/>
        </w:rPr>
        <w:t xml:space="preserve">Main outcome measures</w:t>
      </w:r>
      <w:r>
        <w:t xml:space="preserve">:</w:t>
      </w:r>
    </w:p>
    <w:p>
      <w:pPr>
        <w:pStyle w:val="BodyText"/>
      </w:pPr>
      <w:r>
        <w:rPr>
          <w:i/>
        </w:rPr>
        <w:t xml:space="preserve">Results</w:t>
      </w:r>
      <w:r>
        <w:t xml:space="preserve">:</w:t>
      </w:r>
    </w:p>
    <w:p>
      <w:pPr>
        <w:pStyle w:val="BodyText"/>
      </w:pPr>
      <w:r>
        <w:rPr>
          <w:i/>
        </w:rPr>
        <w:t xml:space="preserve">Conclusion</w:t>
      </w:r>
      <w:r>
        <w:t xml:space="preserve">:</w:t>
      </w:r>
    </w:p>
    <w:p>
      <w:pPr>
        <w:pStyle w:val="BodyText"/>
      </w:pPr>
      <w:r>
        <w:rPr>
          <w:i/>
        </w:rPr>
        <w:t xml:space="preserve">Key words</w:t>
      </w:r>
      <w:r>
        <w:t xml:space="preserve">: randomised controlled trials;</w:t>
      </w:r>
    </w:p>
    <w:p>
      <w:r>
        <w:br w:type="page"/>
      </w:r>
    </w:p>
    <w:bookmarkEnd w:id="22"/>
    <w:bookmarkStart w:id="23" w:name="introduction"/>
    <w:p>
      <w:pPr>
        <w:pStyle w:val="Heading1"/>
      </w:pPr>
      <w:r>
        <w:t xml:space="preserve">Introduction</w:t>
      </w:r>
    </w:p>
    <w:bookmarkEnd w:id="23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The observed differences (</w:t>
      </w:r>
      <m:oMath>
        <m:r>
          <m:t>d</m:t>
        </m:r>
      </m:oMath>
      <w:r>
        <w:t xml:space="preserve">) in groups were modelled using a t-distribution.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∼</m:t>
          </m:r>
          <m:r>
            <m:t>N</m:t>
          </m:r>
          <m:r>
            <m:t>(</m:t>
          </m:r>
          <m:sSub>
            <m:e>
              <m:r>
                <m:t>Δ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  <m:sup>
              <m:r>
                <m:t>2</m:t>
              </m:r>
            </m:sup>
          </m:sSubSup>
          <m:r>
            <m:t>,</m:t>
          </m:r>
          <m:sSub>
            <m:e>
              <m:r>
                <m:rPr>
                  <m:nor/>
                  <m:sty m:val="p"/>
                </m:rPr>
                <m:t>df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  <m:r>
            <m:t>  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r>
            <m:t>M</m:t>
          </m:r>
          <m:r>
            <m:t>,</m:t>
          </m:r>
          <m:r>
            <m:t> </m:t>
          </m:r>
          <m:r>
            <m:t>j</m:t>
          </m:r>
          <m:r>
            <m:t>=</m:t>
          </m:r>
          <m:r>
            <m:t>1</m:t>
          </m:r>
          <m:r>
            <m:t>,</m:t>
          </m:r>
          <m:r>
            <m:t>…</m:t>
          </m:r>
          <m:r>
            <m:t>,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study index 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the row index. The degrees of freedom (df) for study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total sample size minus (</w:t>
      </w:r>
      <m:oMath>
        <m:sSub>
          <m:e>
            <m:r>
              <m:t>N</m:t>
            </m:r>
          </m:e>
          <m:sub>
            <m:r>
              <m:t>i</m:t>
            </m:r>
          </m:sub>
        </m:sSub>
        <m:r>
          <m:t>−</m:t>
        </m:r>
        <m:r>
          <m:t>2</m:t>
        </m:r>
      </m:oMath>
      <w:r>
        <w:t xml:space="preserve">).</w:t>
      </w:r>
    </w:p>
    <w:p>
      <w:pPr>
        <w:pStyle w:val="BodyText"/>
      </w:pPr>
      <w:r>
        <w:t xml:space="preserve">The pooled inverse-variance was modelled as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  <m:sup>
              <m:r>
                <m:t>−</m:t>
              </m:r>
              <m:r>
                <m:t>2</m:t>
              </m:r>
            </m:sup>
          </m:sSubSup>
          <m:r>
            <m:t>=</m:t>
          </m:r>
          <m:sSubSup>
            <m:e>
              <m:r>
                <m:t>s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  <m:sup>
              <m:r>
                <m:t>−</m:t>
              </m:r>
              <m:r>
                <m:t>2</m:t>
              </m:r>
            </m:sup>
          </m:sSubSup>
          <m:r>
            <m:t>+</m:t>
          </m:r>
          <m:sSub>
            <m:e>
              <m:r>
                <m:t>γ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observed pooled variance. The study-level random variable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used to model an additional precision for study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using a spike-and-slab approach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sSubSup>
            <m:e>
              <m:r>
                <m:t>I</m:t>
              </m:r>
            </m:e>
            <m:sub>
              <m:r>
                <m:t>i</m:t>
              </m:r>
            </m:sub>
            <m:sup>
              <m:r>
                <m:t>γ</m:t>
              </m:r>
            </m:sup>
          </m:sSubSup>
          <m:r>
            <m:t>)</m:t>
          </m:r>
          <m:r>
            <m:t>×</m:t>
          </m:r>
          <m:r>
            <m:t>0</m:t>
          </m:r>
          <m:r>
            <m:t>+</m:t>
          </m:r>
          <m:sSubSup>
            <m:e>
              <m:r>
                <m:t>I</m:t>
              </m:r>
            </m:e>
            <m:sub>
              <m:r>
                <m:t>i</m:t>
              </m:r>
            </m:sub>
            <m:sup>
              <m:r>
                <m:t>γ</m:t>
              </m:r>
            </m:sup>
          </m:sSubSup>
          <m:r>
            <m:t>×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I</m:t>
              </m:r>
            </m:e>
            <m:sub>
              <m:r>
                <m:t>i</m:t>
              </m:r>
            </m:sub>
            <m:sup>
              <m:r>
                <m:t>γ</m:t>
              </m:r>
            </m:sup>
          </m:sSubSup>
          <m:r>
            <m:t>∼</m:t>
          </m:r>
          <m:r>
            <m:rPr>
              <m:nor/>
              <m:sty m:val="p"/>
            </m:rPr>
            <m:t>Bernoulli</m:t>
          </m:r>
          <m:r>
            <m:t>(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nor/>
              <m:sty m:val="p"/>
            </m:rP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10</m:t>
              </m:r>
            </m:e>
            <m:sup>
              <m:r>
                <m:t>3</m:t>
              </m:r>
            </m:sup>
          </m:sSup>
          <m:r>
            <m:t>)</m:t>
          </m:r>
          <m:r>
            <m:t>I</m:t>
          </m:r>
          <m:r>
            <m:t>(</m:t>
          </m:r>
          <m:r>
            <m:t>0</m:t>
          </m:r>
          <m:r>
            <m:t>,</m:t>
          </m:r>
          <m:r>
            <m:t>)</m:t>
          </m:r>
        </m:oMath>
      </m:oMathPara>
    </w:p>
    <w:p>
      <w:pPr>
        <w:pStyle w:val="FirstParagraph"/>
      </w:pPr>
      <w:r>
        <w:t xml:space="preserve">So the additional precision is zero with probability (</w:t>
      </w:r>
      <m:oMath>
        <m:r>
          <m:t>1</m:t>
        </m:r>
        <m:r>
          <m:t>−</m:t>
        </m:r>
        <m:sSubSup>
          <m:e>
            <m:r>
              <m:t>I</m:t>
            </m:r>
          </m:e>
          <m:sub>
            <m:r>
              <m:t>i</m:t>
            </m:r>
          </m:sub>
          <m:sup>
            <m:r>
              <m:t>γ</m:t>
            </m:r>
          </m:sup>
        </m:sSubSup>
      </m:oMath>
      <w:r>
        <w:t xml:space="preserve">) which is the</w:t>
      </w:r>
      <w:r>
        <w:t xml:space="preserve"> </w:t>
      </w:r>
      <w:r>
        <w:t xml:space="preserve">“</w:t>
      </w:r>
      <w:r>
        <w:t xml:space="preserve">spike</w:t>
      </w:r>
      <w:r>
        <w:t xml:space="preserve">”</w:t>
      </w:r>
      <w:r>
        <w:t xml:space="preserve"> </w:t>
      </w:r>
      <w:r>
        <w:t xml:space="preserve">that models studies where the differences between randomised groups are as expected. The switch for each study is modelled using a Bernoulli distribution. The probability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expected proportion of papers with an issue. This can be specified as a constant or given its own hyper-parameter. The additional precision (</w:t>
      </w:r>
      <w:r>
        <w:t xml:space="preserve">“</w:t>
      </w:r>
      <w:r>
        <w:t xml:space="preserve">slab</w:t>
      </w:r>
      <w:r>
        <w:t xml:space="preserve">”</w:t>
      </w:r>
      <w:r>
        <w:t xml:space="preserve">) was modelled using a truncated normal distribution where the estimate must be positive. This is because we were interested in studies with a higher than expected precision.</w:t>
      </w:r>
    </w:p>
    <w:p>
      <w:pPr>
        <w:pStyle w:val="BodyText"/>
      </w:pPr>
      <w:r>
        <w:t xml:space="preserve">The mean was also modelled using a spike-and-slab approach.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sSubSup>
            <m:e>
              <m:r>
                <m:t>I</m:t>
              </m:r>
            </m:e>
            <m:sub>
              <m:r>
                <m:t>i</m:t>
              </m:r>
            </m:sub>
            <m:sup>
              <m:r>
                <m:t>Δ</m:t>
              </m:r>
            </m:sup>
          </m:sSubSup>
          <m:r>
            <m:t>)</m:t>
          </m:r>
          <m:r>
            <m:t>×</m:t>
          </m:r>
          <m:r>
            <m:t>0</m:t>
          </m:r>
          <m:r>
            <m:t>+</m:t>
          </m:r>
          <m:sSubSup>
            <m:e>
              <m:r>
                <m:t>I</m:t>
              </m:r>
            </m:e>
            <m:sub>
              <m:r>
                <m:t>i</m:t>
              </m:r>
            </m:sub>
            <m:sup>
              <m:r>
                <m:t>Δ</m:t>
              </m:r>
            </m:sup>
          </m:sSubSup>
          <m:r>
            <m:t>×</m:t>
          </m:r>
          <m:sSub>
            <m:e>
              <m:r>
                <m:t>ν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I</m:t>
              </m:r>
            </m:e>
            <m:sub>
              <m:r>
                <m:t>i</m:t>
              </m:r>
            </m:sub>
            <m:sup>
              <m:r>
                <m:t>Δ</m:t>
              </m:r>
            </m:sup>
          </m:sSubSup>
          <m:r>
            <m:t>∼</m:t>
          </m:r>
          <m:r>
            <m:rPr>
              <m:nor/>
              <m:sty m:val="p"/>
            </m:rPr>
            <m:t>Bernoulli</m:t>
          </m:r>
          <m:r>
            <m:t>(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ν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nor/>
              <m:sty m:val="p"/>
            </m:rP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10</m:t>
              </m:r>
            </m:e>
            <m:sup>
              <m:r>
                <m:t>3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So here the spike is at zero for studies where the mean difference is as expected for randomised controlled trials. The slab here includes a wide range of positive and negative values.</w:t>
      </w:r>
    </w:p>
    <w:bookmarkStart w:id="25" w:name="graphical-description-of-the-model"/>
    <w:p>
      <w:pPr>
        <w:pStyle w:val="Heading3"/>
      </w:pPr>
      <w:r>
        <w:t xml:space="preserve">Graphical description of the model</w:t>
      </w:r>
    </w:p>
    <w:p>
      <w:pPr>
        <w:pStyle w:val="FirstParagraph"/>
      </w:pPr>
      <w:r>
        <w:t xml:space="preserve">Here we give a graphical description of the model.</w:t>
      </w:r>
    </w:p>
    <w:p>
      <w:pPr>
        <w:pStyle w:val="BodyText"/>
      </w:pPr>
      <w:r>
        <w:drawing>
          <wp:inline>
            <wp:extent cx="4583458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aud_pap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example, both studies have a mean difference of zero, but the observed differences from one study are much narrower and closer to zero. Our approach models the precision (inverse-variance) and aims to detect when studies have an unexpectedly narrow precision.</w:t>
      </w:r>
    </w:p>
    <w:bookmarkEnd w:id="25"/>
    <w:bookmarkEnd w:id="26"/>
    <w:bookmarkStart w:id="33" w:name="conclusion"/>
    <w:p>
      <w:pPr>
        <w:pStyle w:val="Heading1"/>
      </w:pPr>
      <w:r>
        <w:t xml:space="preserve">Conclusion</w:t>
      </w:r>
    </w:p>
    <w:bookmarkStart w:id="27" w:name="acknowledgements"/>
    <w:p>
      <w:pPr>
        <w:pStyle w:val="Heading2"/>
      </w:pPr>
      <w:r>
        <w:t xml:space="preserve">Acknowledgements</w:t>
      </w:r>
    </w:p>
    <w:bookmarkEnd w:id="27"/>
    <w:bookmarkStart w:id="28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The authors have declared that no competing interests exist.</w:t>
      </w:r>
    </w:p>
    <w:bookmarkEnd w:id="28"/>
    <w:bookmarkStart w:id="30" w:name="funding"/>
    <w:p>
      <w:pPr>
        <w:pStyle w:val="Heading2"/>
      </w:pPr>
      <w:r>
        <w:t xml:space="preserve">Funding</w:t>
      </w:r>
    </w:p>
    <w:p>
      <w:pPr>
        <w:pStyle w:val="FirstParagraph"/>
      </w:pPr>
      <w:r>
        <w:t xml:space="preserve">This work was supported by National Health and Medical Research Council (</w:t>
      </w:r>
      <w:hyperlink r:id="rId29">
        <w:r>
          <w:rPr>
            <w:rStyle w:val="Hyperlink"/>
          </w:rPr>
          <w:t xml:space="preserve">https://www.nhmrc.gov.au/</w:t>
        </w:r>
      </w:hyperlink>
      <w:r>
        <w:t xml:space="preserve">) grant number APP1117784. The funders had no role in study design, data collection and analysis, decision to publish, or preparation of the manuscript.</w:t>
      </w:r>
    </w:p>
    <w:bookmarkEnd w:id="30"/>
    <w:bookmarkStart w:id="31" w:name="authors-contributions"/>
    <w:p>
      <w:pPr>
        <w:pStyle w:val="Heading2"/>
      </w:pPr>
      <w:r>
        <w:t xml:space="preserve">Authors’ contributions</w:t>
      </w:r>
    </w:p>
    <w:bookmarkEnd w:id="31"/>
    <w:bookmarkStart w:id="32" w:name="data-sharing"/>
    <w:p>
      <w:pPr>
        <w:pStyle w:val="Heading2"/>
      </w:pPr>
      <w:r>
        <w:t xml:space="preserve">Data sharing</w:t>
      </w:r>
    </w:p>
    <w:bookmarkEnd w:id="32"/>
    <w:bookmarkEnd w:id="33"/>
    <w:bookmarkStart w:id="34" w:name="references"/>
    <w:p>
      <w:pPr>
        <w:pStyle w:val="Heading1"/>
      </w:pPr>
      <w:r>
        <w:t xml:space="preserve">References</w:t>
      </w:r>
    </w:p>
    <w:bookmarkEnd w:id="34"/>
    <w:sectPr w:rsidR="00090E4D" w:rsidRPr="00090E4D" w:rsidSect="00F27E9D">
      <w:footerReference w:type="default" r:id="rId9"/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869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DF8E0" w14:textId="1B29815A" w:rsidR="0062328A" w:rsidRDefault="006232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27CD11" w14:textId="77777777" w:rsidR="0062328A" w:rsidRDefault="0062328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Australian</w:t>
      </w:r>
      <w:r>
        <w:t xml:space="preserve"> </w:t>
      </w:r>
      <w:r>
        <w:t xml:space="preserve">Centre</w:t>
      </w:r>
      <w:r>
        <w:t xml:space="preserve"> </w:t>
      </w:r>
      <w:r>
        <w:t xml:space="preserve">for</w:t>
      </w:r>
      <w:r>
        <w:t xml:space="preserve"> </w:t>
      </w:r>
      <w:r>
        <w:t xml:space="preserve">Health</w:t>
      </w:r>
      <w:r>
        <w:t xml:space="preserve"> </w:t>
      </w:r>
      <w:r>
        <w:t xml:space="preserve">Services</w:t>
      </w:r>
      <w:r>
        <w:t xml:space="preserve"> </w:t>
      </w:r>
      <w:r>
        <w:t xml:space="preserve">Innovation</w:t>
      </w:r>
      <w:r>
        <w:t xml:space="preserve"> </w:t>
      </w:r>
      <w:r>
        <w:t xml:space="preserve">&amp;</w:t>
      </w:r>
      <w:r>
        <w:t xml:space="preserve"> </w:t>
      </w:r>
      <w:r>
        <w:t xml:space="preserve">Centre</w:t>
      </w:r>
      <w:r>
        <w:t xml:space="preserve"> </w:t>
      </w:r>
      <w:r>
        <w:t xml:space="preserve">for</w:t>
      </w:r>
      <w:r>
        <w:t xml:space="preserve"> </w:t>
      </w:r>
      <w:r>
        <w:t xml:space="preserve">Healthcare</w:t>
      </w:r>
      <w:r>
        <w:t xml:space="preserve"> </w:t>
      </w:r>
      <w:r>
        <w:t xml:space="preserve">Transformation,</w:t>
      </w:r>
      <w:r>
        <w:t xml:space="preserve"> </w:t>
      </w:r>
      <w:r>
        <w:t xml:space="preserve">Queensland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Technology,</w:t>
      </w:r>
      <w:r>
        <w:t xml:space="preserve"> </w:t>
      </w:r>
      <w:r>
        <w:t xml:space="preserve">Queensland,</w:t>
      </w:r>
      <w:r>
        <w:t xml:space="preserve"> </w:t>
      </w:r>
      <w:r>
        <w:t xml:space="preserve">Australia,</w:t>
      </w:r>
      <w:r>
        <w:t xml:space="preserve"> </w:t>
      </w:r>
      <w:hyperlink r:id="rId21">
        <w:r>
          <w:rPr>
            <w:rStyle w:val="Hyperlink"/>
          </w:rPr>
          <w:t xml:space="preserve">a.barnett@qut.edu.au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4D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E4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E4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E4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4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E4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E4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28A"/>
    <w:rPr>
      <w:rFonts w:ascii="Times New Roman" w:hAnsi="Times New Roman"/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4" Target="media/rId24.png" /><Relationship Type="http://schemas.openxmlformats.org/officeDocument/2006/relationships/hyperlink" Id="rId29" Target="https://www.nhmrc.gov.au/" TargetMode="External" /><Relationship Type="http://schemas.openxmlformats.org/officeDocument/2006/relationships/hyperlink" Id="rId21" Target="mailto:a.barnett@qut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nhmrc.gov.au/" TargetMode="External" /><Relationship Type="http://schemas.openxmlformats.org/officeDocument/2006/relationships/hyperlink" Id="rId21" Target="mailto:a.barnett@qut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Automatically detecting issues with randomised controlled trials</dc:title>
  <dc:creator>Adrian Barnett</dc:creator>
  <cp:keywords/>
  <dcterms:created xsi:type="dcterms:W3CDTF">2021-05-28T11:51:46Z</dcterms:created>
  <dcterms:modified xsi:type="dcterms:W3CDTF">2021-05-28T11:51:46Z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bmj-open.csl</vt:lpwstr>
  </property>
  <property fmtid="{D5CDD505-2E9C-101B-9397-08002B2CF9AE}" pid="4" name="output">
    <vt:lpwstr/>
  </property>
</Properties>
</file>