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2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30.png" ContentType="image/png"/>
  <Override PartName="/word/media/rId41.png" ContentType="image/png"/>
  <Override PartName="/word/media/rId43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  <w:r>
        <w:t xml:space="preserve"> </w:t>
      </w:r>
      <w:r>
        <w:t xml:space="preserve">in</w:t>
      </w:r>
      <w:r>
        <w:t xml:space="preserve"> </w:t>
      </w:r>
      <w:r>
        <w:t xml:space="preserve">journal</w:t>
      </w:r>
      <w:r>
        <w:t xml:space="preserve"> </w:t>
      </w:r>
      <w:r>
        <w:t xml:space="preserve">abstracts</w:t>
      </w:r>
      <w:r>
        <w:t xml:space="preserve"> </w:t>
      </w:r>
      <w:r>
        <w:t xml:space="preserve">and</w:t>
      </w:r>
      <w:r>
        <w:t xml:space="preserve"> </w:t>
      </w:r>
      <w:r>
        <w:t xml:space="preserve">full-text.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summary-table"/>
      <w:r>
        <w:t xml:space="preserve">Summary table</w:t>
      </w:r>
      <w:bookmarkEnd w:id="20"/>
    </w:p>
    <w:p>
      <w:pPr>
        <w:pStyle w:val="FirstParagraph"/>
      </w:pPr>
      <w:r>
        <w:t xml:space="preserve">The table below shows the number of confidence limits from abstracts and full-texts, together with the total number of unique journals, and the number with a zero lower limit (which are excluded from the plots below).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zero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Abstract</w:t>
            </w:r>
          </w:p>
        </w:tc>
        <w:tc>
          <w:p>
            <w:pPr>
              <w:pStyle w:val="Compact"/>
              <w:jc w:val="center"/>
            </w:pPr>
            <w:r>
              <w:t xml:space="preserve">968,278</w:t>
            </w:r>
          </w:p>
        </w:tc>
        <w:tc>
          <w:p>
            <w:pPr>
              <w:pStyle w:val="Compact"/>
              <w:jc w:val="center"/>
            </w:pPr>
            <w:r>
              <w:t xml:space="preserve">5,949</w:t>
            </w:r>
          </w:p>
        </w:tc>
        <w:tc>
          <w:p>
            <w:pPr>
              <w:pStyle w:val="Compact"/>
              <w:jc w:val="center"/>
            </w:pPr>
            <w:r>
              <w:t xml:space="preserve">1,159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Full-text</w:t>
            </w:r>
          </w:p>
        </w:tc>
        <w:tc>
          <w:p>
            <w:pPr>
              <w:pStyle w:val="Compact"/>
              <w:jc w:val="center"/>
            </w:pPr>
            <w:r>
              <w:t xml:space="preserve">351,937</w:t>
            </w:r>
          </w:p>
        </w:tc>
        <w:tc>
          <w:p>
            <w:pPr>
              <w:pStyle w:val="Compact"/>
              <w:jc w:val="center"/>
            </w:pPr>
            <w:r>
              <w:t xml:space="preserve">2,754</w:t>
            </w:r>
          </w:p>
        </w:tc>
        <w:tc>
          <w:p>
            <w:pPr>
              <w:pStyle w:val="Compact"/>
              <w:jc w:val="center"/>
            </w:pPr>
            <w:r>
              <w:t xml:space="preserve">439</w:t>
            </w:r>
          </w:p>
        </w:tc>
      </w:tr>
    </w:tbl>
    <w:p>
      <w:pPr>
        <w:pStyle w:val="Heading2"/>
      </w:pPr>
      <w:bookmarkStart w:id="21" w:name="table-of-mistakes"/>
      <w:r>
        <w:t xml:space="preserve">Table of mistakes</w:t>
      </w:r>
      <w:bookmarkEnd w:id="21"/>
    </w:p>
    <w:p>
      <w:pPr>
        <w:pStyle w:val="FirstParagraph"/>
      </w:pPr>
      <w:r>
        <w:t xml:space="preserve">How many intervals were excluded because of a mistake where the mean was not within the interval.</w:t>
      </w:r>
    </w:p>
    <w:tbl>
      <w:tblPr>
        <w:tblStyle w:val="Table"/>
        <w:tblW w:type="pct" w:w="3958.3333333333335"/>
        <w:tblLook w:firstRow="1"/>
      </w:tblPr>
      <w:tblGrid>
        <w:gridCol w:w="1100"/>
        <w:gridCol w:w="1430"/>
        <w:gridCol w:w="1100"/>
        <w:gridCol w:w="154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Mistake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Abstract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Full-text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961862</w:t>
            </w:r>
          </w:p>
        </w:tc>
        <w:tc>
          <w:p>
            <w:pPr>
              <w:pStyle w:val="Compact"/>
              <w:jc w:val="center"/>
            </w:pPr>
            <w:r>
              <w:t xml:space="preserve">99.3</w:t>
            </w:r>
          </w:p>
        </w:tc>
        <w:tc>
          <w:p>
            <w:pPr>
              <w:pStyle w:val="Compact"/>
              <w:jc w:val="center"/>
            </w:pPr>
            <w:r>
              <w:t xml:space="preserve">348809</w:t>
            </w:r>
          </w:p>
        </w:tc>
        <w:tc>
          <w:p>
            <w:pPr>
              <w:pStyle w:val="Compact"/>
              <w:jc w:val="center"/>
            </w:pPr>
            <w:r>
              <w:t xml:space="preserve">99.1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6416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3128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968278</w:t>
            </w:r>
          </w:p>
        </w:tc>
        <w:tc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p>
            <w:pPr>
              <w:pStyle w:val="Compact"/>
              <w:jc w:val="center"/>
            </w:pPr>
            <w:r>
              <w:t xml:space="preserve">351937</w:t>
            </w:r>
          </w:p>
        </w:tc>
        <w:tc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Heading2"/>
      </w:pPr>
      <w:bookmarkStart w:id="22" w:name="table-of-ci-level"/>
      <w:r>
        <w:t xml:space="preserve">Table of CI level</w:t>
      </w:r>
      <w:bookmarkEnd w:id="22"/>
    </w:p>
    <w:p>
      <w:pPr>
        <w:pStyle w:val="Heading3"/>
      </w:pPr>
      <w:bookmarkStart w:id="23" w:name="numbers-with-missing-ci-level"/>
      <w:r>
        <w:t xml:space="preserve">Numbers with missing CI level</w:t>
      </w:r>
      <w:bookmarkEnd w:id="23"/>
    </w:p>
    <w:tbl>
      <w:tblPr>
        <w:tblStyle w:val="Table"/>
        <w:tblW w:type="pct" w:w="4999.999999999999"/>
        <w:tblLook w:firstRow="1"/>
      </w:tblPr>
      <w:tblGrid>
        <w:gridCol w:w="954"/>
        <w:gridCol w:w="1813"/>
        <w:gridCol w:w="954"/>
        <w:gridCol w:w="1335"/>
        <w:gridCol w:w="954"/>
        <w:gridCol w:w="954"/>
        <w:gridCol w:w="9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factor(source)</w:t>
            </w:r>
            <w:r>
              <w:br w:type="textWrapping"/>
            </w:r>
            <w:r>
              <w:t xml:space="preserve">Abstract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Full-text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All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855212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309538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1164750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105512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38851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144363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960724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348389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1309113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</w:tbl>
    <w:p>
      <w:pPr>
        <w:pStyle w:val="Heading3"/>
      </w:pPr>
      <w:bookmarkStart w:id="24" w:name="numbers-with-missing-ci-level-1"/>
      <w:r>
        <w:t xml:space="preserve">Numbers with missing CI level</w:t>
      </w:r>
      <w:bookmarkEnd w:id="24"/>
    </w:p>
    <w:p>
      <w:pPr>
        <w:pStyle w:val="FirstParagraph"/>
      </w:pPr>
      <w:r>
        <w:t xml:space="preserve">For the table below we excluded the intervals where the CI level was not given.</w:t>
      </w:r>
    </w:p>
    <w:tbl>
      <w:tblPr>
        <w:tblStyle w:val="Table"/>
        <w:tblW w:type="pct" w:w="4999.999999999999"/>
        <w:tblLook w:firstRow="1"/>
      </w:tblPr>
      <w:tblGrid>
        <w:gridCol w:w="954"/>
        <w:gridCol w:w="1813"/>
        <w:gridCol w:w="954"/>
        <w:gridCol w:w="1335"/>
        <w:gridCol w:w="954"/>
        <w:gridCol w:w="954"/>
        <w:gridCol w:w="9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factor(source)</w:t>
            </w:r>
            <w:r>
              <w:br w:type="textWrapping"/>
            </w:r>
            <w:r>
              <w:t xml:space="preserve">Abstract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Full-text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All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2879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787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3666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852333</w:t>
            </w:r>
          </w:p>
        </w:tc>
        <w:tc>
          <w:p>
            <w:pPr>
              <w:pStyle w:val="Compact"/>
              <w:jc w:val="center"/>
            </w:pPr>
            <w:r>
              <w:t xml:space="preserve">99.7</w:t>
            </w:r>
          </w:p>
        </w:tc>
        <w:tc>
          <w:p>
            <w:pPr>
              <w:pStyle w:val="Compact"/>
              <w:jc w:val="center"/>
            </w:pPr>
            <w:r>
              <w:t xml:space="preserve">308751</w:t>
            </w:r>
          </w:p>
        </w:tc>
        <w:tc>
          <w:p>
            <w:pPr>
              <w:pStyle w:val="Compact"/>
              <w:jc w:val="center"/>
            </w:pPr>
            <w:r>
              <w:t xml:space="preserve">99.7</w:t>
            </w:r>
          </w:p>
        </w:tc>
        <w:tc>
          <w:p>
            <w:pPr>
              <w:pStyle w:val="Compact"/>
              <w:jc w:val="center"/>
            </w:pPr>
            <w:r>
              <w:t xml:space="preserve">1161084</w:t>
            </w:r>
          </w:p>
        </w:tc>
        <w:tc>
          <w:p>
            <w:pPr>
              <w:pStyle w:val="Compact"/>
              <w:jc w:val="center"/>
            </w:pPr>
            <w:r>
              <w:t xml:space="preserve">99.7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855212</w:t>
            </w:r>
          </w:p>
        </w:tc>
        <w:tc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p>
            <w:pPr>
              <w:pStyle w:val="Compact"/>
              <w:jc w:val="center"/>
            </w:pPr>
            <w:r>
              <w:t xml:space="preserve">309538</w:t>
            </w:r>
          </w:p>
        </w:tc>
        <w:tc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p>
            <w:pPr>
              <w:pStyle w:val="Compact"/>
              <w:jc w:val="center"/>
            </w:pPr>
            <w:r>
              <w:t xml:space="preserve">1164750</w:t>
            </w:r>
          </w:p>
        </w:tc>
        <w:tc>
          <w:p>
            <w:pPr>
              <w:pStyle w:val="Compact"/>
              <w:jc w:val="center"/>
            </w:pPr>
            <w:r>
              <w:t xml:space="preserve">100.0</w:t>
            </w:r>
          </w:p>
        </w:tc>
      </w:tr>
    </w:tbl>
    <w:p>
      <w:pPr>
        <w:pStyle w:val="Heading1"/>
      </w:pPr>
      <w:bookmarkStart w:id="25" w:name="lower-confidence-interval-log-scale"/>
      <w:r>
        <w:t xml:space="preserve">Lower confidence interval (log-scale)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gw.low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3% limits excluded from the plot that were less than 0.1, and 0.8% limits excluded that were above 10.</w:t>
      </w:r>
    </w:p>
    <w:p>
      <w:pPr>
        <w:pStyle w:val="Heading2"/>
      </w:pPr>
      <w:bookmarkStart w:id="27" w:name="Xac937fecfc95a1d6a35415d51c77f6f01a9bf1e"/>
      <w:r>
        <w:t xml:space="preserve">Number and percent of lower intervals above 1 and less than or equal to 1.1</w:t>
      </w:r>
      <w:bookmarkEnd w:id="27"/>
    </w:p>
    <w:tbl>
      <w:tblPr>
        <w:tblStyle w:val="Table"/>
        <w:tblW w:type="pct" w:w="4027.777777777778"/>
        <w:tblLook w:firstRow="1"/>
      </w:tblPr>
      <w:tblGrid>
        <w:gridCol w:w="1210"/>
        <w:gridCol w:w="1430"/>
        <w:gridCol w:w="1100"/>
        <w:gridCol w:w="154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(1, 1.1]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Abstract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Full-text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804367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295829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162752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55669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967119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351498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</w:tbl>
    <w:p>
      <w:pPr>
        <w:pStyle w:val="Heading2"/>
      </w:pPr>
      <w:bookmarkStart w:id="28" w:name="X4e4bd2d750425a8caa3dc5c04e0d8587417c973"/>
      <w:r>
        <w:t xml:space="preserve">Number and percent of lower intervals above 1 and less than or equal to 1.2</w:t>
      </w:r>
      <w:bookmarkEnd w:id="28"/>
    </w:p>
    <w:tbl>
      <w:tblPr>
        <w:tblStyle w:val="Table"/>
        <w:tblW w:type="pct" w:w="4027.777777777778"/>
        <w:tblLook w:firstRow="1"/>
      </w:tblPr>
      <w:tblGrid>
        <w:gridCol w:w="1210"/>
        <w:gridCol w:w="1430"/>
        <w:gridCol w:w="1100"/>
        <w:gridCol w:w="154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(1, 1.2]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Abstract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Full-text</w:t>
            </w:r>
            <w:r>
              <w:br w:type="textWrapping"/>
            </w: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br w:type="textWrapping"/>
            </w:r>
            <w:r>
              <w:t xml:space="preserve">Percent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711603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265104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255516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86394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967119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351498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</w:tbl>
    <w:p>
      <w:pPr>
        <w:pStyle w:val="Heading1"/>
      </w:pPr>
      <w:bookmarkStart w:id="29" w:name="upper-confidence-interval-log-scale"/>
      <w:r>
        <w:t xml:space="preserve">Upper confidence interval (log scale)</w:t>
      </w:r>
      <w:bookmarkEnd w:id="29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gw.upp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ad859589edc5e5c00e933aee33853704698e995"/>
      <w:r>
        <w:t xml:space="preserve">Plot of lower and upper intervals side by side (log scale)</w:t>
      </w:r>
      <w:bookmarkEnd w:id="31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plot.both.g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alternative-plot-on-same-panel-log-scale"/>
      <w:r>
        <w:t xml:space="preserve">Alternative plot on same panel (log scale)</w:t>
      </w:r>
      <w:bookmarkEnd w:id="33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plot.both.gw.same.pan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above includes 96% of all lower intervals and 85% of all upper intervals.</w:t>
      </w:r>
    </w:p>
    <w:p>
      <w:pPr>
        <w:pStyle w:val="Heading1"/>
      </w:pPr>
      <w:bookmarkStart w:id="35" w:name="alternative-plot-on-non-log-scale"/>
      <w:r>
        <w:t xml:space="preserve">Alternative plot on non-log scale</w:t>
      </w:r>
      <w:bookmarkEnd w:id="35"/>
    </w:p>
    <w:p>
      <w:pPr>
        <w:pStyle w:val="FirstParagraph"/>
      </w:pPr>
      <w:r>
        <w:t xml:space="preserve">This plot was suggested by a reviewer who said that</w:t>
      </w:r>
      <w:r>
        <w:t xml:space="preserve"> </w:t>
      </w:r>
      <w:r>
        <w:t xml:space="preserve">“</w:t>
      </w:r>
      <w:r>
        <w:t xml:space="preserve">log-scales are difficult to process intuitively</w:t>
      </w:r>
      <w:r>
        <w:t xml:space="preserve">”</w:t>
      </w:r>
      <w:r>
        <w:t xml:space="preserve">.</w:t>
      </w:r>
      <w:r>
        <w:t xml:space="preserve"> </w:t>
      </w:r>
      <w:r>
        <w:t xml:space="preserve">The x-axis is restricted to 0.25 (1/4) to 4.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plot.non.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above includes 89% of all lower intervals and 67% of all upper intervals.</w:t>
      </w:r>
    </w:p>
    <w:p>
      <w:pPr>
        <w:pStyle w:val="Heading1"/>
      </w:pPr>
      <w:bookmarkStart w:id="37" w:name="alternative-plot-on-zoomed-in-scale"/>
      <w:r>
        <w:t xml:space="preserve">Alternative plot on zoomed in scale</w:t>
      </w:r>
      <w:bookmarkEnd w:id="37"/>
    </w:p>
    <w:p>
      <w:pPr>
        <w:pStyle w:val="FirstParagraph"/>
      </w:pPr>
      <w:r>
        <w:t xml:space="preserve">This plot was suggested by a reviewer who asked if we could zoom in on the area closest to 1.</w:t>
      </w:r>
      <w:r>
        <w:t xml:space="preserve"> </w:t>
      </w:r>
      <w:r>
        <w:t xml:space="preserve">The x-axis is restricted to 0.83 to 1.2 and the y-axis is restricted to reduce white space.</w:t>
      </w:r>
      <w:r>
        <w:t xml:space="preserve"> </w:t>
      </w:r>
      <w:r>
        <w:t xml:space="preserve">We also plot this on a non-log scale.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plot.zo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zoomed in plot shows the clear steps in the data due to rounding.</w:t>
      </w:r>
    </w:p>
    <w:p>
      <w:pPr>
        <w:pStyle w:val="BodyText"/>
      </w:pPr>
      <w:r>
        <w:t xml:space="preserve">The plot above includes 35% of all lower intervals and 20% of all upper intervals.</w:t>
      </w:r>
    </w:p>
    <w:p>
      <w:pPr>
        <w:pStyle w:val="Heading1"/>
      </w:pPr>
      <w:bookmarkStart w:id="39" w:name="non-cumulative-plots"/>
      <w:r>
        <w:t xml:space="preserve">Non-cumulative plots</w:t>
      </w:r>
      <w:bookmarkEnd w:id="39"/>
    </w:p>
    <w:p>
      <w:pPr>
        <w:pStyle w:val="Heading2"/>
      </w:pPr>
      <w:bookmarkStart w:id="40" w:name="wider-bin-width"/>
      <w:r>
        <w:t xml:space="preserve">Wider bin-width</w:t>
      </w:r>
      <w:bookmarkEnd w:id="40"/>
    </w:p>
    <w:p>
      <w:pPr>
        <w:pStyle w:val="FirstParagraph"/>
      </w:pPr>
      <w:r>
        <w:t xml:space="preserve">This plot is in bin-widths of 0.1. The x-axis range is from 0.2 to 4.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plot.both.bar.non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narrower-bin-width"/>
      <w:r>
        <w:t xml:space="preserve">Narrower bin width</w:t>
      </w:r>
      <w:bookmarkEnd w:id="42"/>
    </w:p>
    <w:p>
      <w:pPr>
        <w:pStyle w:val="FirstParagraph"/>
      </w:pPr>
      <w:r>
        <w:t xml:space="preserve">This plot is in bin-widths of 0.05. The x-axis range is from 0.2 to 4.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plot.both.bar.nonlog.narrow.b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intervals-over-time"/>
      <w:r>
        <w:t xml:space="preserve">Intervals over time</w:t>
      </w:r>
      <w:bookmarkEnd w:id="44"/>
    </w:p>
    <w:p>
      <w:pPr>
        <w:pStyle w:val="FirstParagraph"/>
      </w:pPr>
      <w:r>
        <w:t xml:space="preserve">We examine the cumulative plots over time to see whether things have worsened or improved.</w:t>
      </w:r>
      <w:r>
        <w:t xml:space="preserve"> </w:t>
      </w:r>
      <w:r>
        <w:t xml:space="preserve">We plot the empirical cumulative distribution function in five year bands.</w:t>
      </w:r>
      <w:r>
        <w:t xml:space="preserve"> </w:t>
      </w:r>
      <w:r>
        <w:t xml:space="preserve">We excluded the data prior to 1990 because of the relatively small numbers.</w:t>
      </w:r>
    </w:p>
    <w:p>
      <w:pPr>
        <w:pStyle w:val="Heading2"/>
      </w:pPr>
      <w:bookmarkStart w:id="45" w:name="abstracts"/>
      <w:r>
        <w:t xml:space="preserve">Abstracts</w:t>
      </w:r>
      <w:bookmarkEnd w:id="45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gw.over.time.abstrac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a near identical cumulative distribution functions for each five year period.</w:t>
      </w:r>
    </w:p>
    <w:p>
      <w:pPr>
        <w:pStyle w:val="BodyText"/>
      </w:pPr>
      <w:r>
        <w:t xml:space="preserve">This plot excludes 43 intervals that were missing the year.</w:t>
      </w:r>
    </w:p>
    <w:p>
      <w:pPr>
        <w:pStyle w:val="Heading3"/>
      </w:pPr>
      <w:bookmarkStart w:id="47" w:name="X0e4abb77ce3ebeae43058f3e31e69705fb9ea55"/>
      <w:r>
        <w:t xml:space="preserve">Abstract intervals over time on non-log scale</w:t>
      </w:r>
      <w:bookmarkEnd w:id="47"/>
    </w:p>
    <w:p>
      <w:pPr>
        <w:pStyle w:val="FirstParagraph"/>
      </w:pPr>
      <w:r>
        <w:t xml:space="preserve">Here we show the same plot but on a non-log scale restricted to the ratios of 0.25 to 4.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gw.over.time.abstracts.non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full-text"/>
      <w:r>
        <w:t xml:space="preserve">Full-text</w:t>
      </w:r>
      <w:bookmarkEnd w:id="49"/>
    </w:p>
    <w:p>
      <w:pPr>
        <w:pStyle w:val="FirstParagraph"/>
      </w:pPr>
      <w:r>
        <w:t xml:space="preserve">For the full-text data we start from the year 2000 because there are few papers available before then.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gw.over.time.fulltex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a near identical cumulative distribution functions for each five year period.</w:t>
      </w:r>
    </w:p>
    <w:p>
      <w:pPr>
        <w:pStyle w:val="BodyText"/>
      </w:pPr>
      <w:r>
        <w:t xml:space="preserve">This plot excludes 3031 intervals that were missing the year.</w:t>
      </w:r>
    </w:p>
    <w:p>
      <w:pPr>
        <w:pStyle w:val="Heading3"/>
      </w:pPr>
      <w:bookmarkStart w:id="51" w:name="X946fa948bd3b16c4079b4d26d097cbcb25209cc"/>
      <w:r>
        <w:t xml:space="preserve">Full-text intervals over time on non-log scale</w:t>
      </w:r>
      <w:bookmarkEnd w:id="51"/>
    </w:p>
    <w:p>
      <w:pPr>
        <w:pStyle w:val="FirstParagraph"/>
      </w:pPr>
      <w:r>
        <w:t xml:space="preserve">Here we show the same plot but on a non-log scale restricted to the ratios of 0.25 to 4.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gw.over.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a near identical cumulative distribution function for each five year period.</w:t>
      </w:r>
      <w:r>
        <w:t xml:space="preserve"> </w:t>
      </w:r>
      <w:r>
        <w:t xml:space="preserve">The plot also shows more rounding in earlier abstracts as the more recent cumulative plots are smoother.</w:t>
      </w:r>
    </w:p>
    <w:p>
      <w:pPr>
        <w:pStyle w:val="Heading1"/>
      </w:pPr>
      <w:bookmarkStart w:id="53" w:name="Xa9ccb076e31f492f62359a9df39682b7a0d57bc"/>
      <w:r>
        <w:t xml:space="preserve">Sensitivity analysis using one result per abstract</w:t>
      </w:r>
      <w:bookmarkEnd w:id="53"/>
    </w:p>
    <w:p>
      <w:pPr>
        <w:pStyle w:val="FirstParagraph"/>
      </w:pPr>
      <w:r>
        <w:t xml:space="preserve">The above results make no adjustment for using repeated data from the same abstract. Here we use a sensitivity analysis to check whehter this dependence is influencing the results. We do this by randomly selecting one interval per abstract and re-creaing the plot.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sensi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lines were completely overlapping, showing no impact of the repeated results.</w:t>
      </w:r>
    </w:p>
    <w:p>
      <w:pPr>
        <w:pStyle w:val="Heading1"/>
      </w:pPr>
      <w:bookmarkStart w:id="55" w:name="unbiased-data-from-schuemie-et-al"/>
      <w:r>
        <w:t xml:space="preserve">Unbiased data from Schuemie et al</w:t>
      </w:r>
      <w:bookmarkEnd w:id="55"/>
    </w:p>
    <w:p>
      <w:pPr>
        <w:pStyle w:val="FirstParagraph"/>
      </w:pPr>
      <w:r>
        <w:t xml:space="preserve">Here we examine the data from Schuemie et al which is a large unbiased sample of hazard ratios from an observational analysis of insurance data.</w:t>
      </w:r>
      <w:r>
        <w:t xml:space="preserve"> </w:t>
      </w:r>
      <w:r>
        <w:t xml:space="preserve">We use 138,472 hazard ratios.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main_analysis_GW_files/figure-docx/unbiased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2" Target="media/rId5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30" Target="media/rId3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54" Target="media/rId54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confidence intervals in journal abstracts and full-text.</dc:title>
  <dc:creator>Adrian Barnett</dc:creator>
  <cp:keywords/>
  <dcterms:created xsi:type="dcterms:W3CDTF">2019-06-10T00:24:09Z</dcterms:created>
  <dcterms:modified xsi:type="dcterms:W3CDTF">2019-06-10T00:24:09Z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