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 statistics, tables and plots</w:t>
      </w:r>
    </w:p>
    <w:p>
      <w:pPr>
        <w:pStyle w:val="Author"/>
      </w:pPr>
      <w:r>
        <w:t xml:space="preserve">Adrian Barnett</w:t>
      </w:r>
    </w:p>
    <w:p>
      <w:pPr>
        <w:pStyle w:val="Date"/>
      </w:pPr>
      <w:r>
        <w:t xml:space="preserve">12 January 2026</w:t>
      </w:r>
    </w:p>
    <w:bookmarkStart w:id="20" w:name="top-ten-countries"/>
    <w:p>
      <w:pPr>
        <w:pStyle w:val="Heading2"/>
      </w:pPr>
      <w:r>
        <w:t xml:space="preserve">Top ten countries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4"/>
        <w:gridCol w:w="1475"/>
        <w:gridCol w:w="1475"/>
      </w:tblGrid>
      <w:tr>
        <w:trPr>
          <w:trHeight w:val="617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United States of America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19414 (29)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12435 (28)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11453 (17)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5414 (12)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United Kingdom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6673 (10)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6216 (14)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4503 (7)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 (7)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3667 (6)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2549 (6)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3183 (5)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2586 (6)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Australia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3161 (5)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2533 (6)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2410 (4)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2172 (5)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Brazil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2351 (4)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1518 (3)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1906 (3)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1871 (4)</w:t>
            </w:r>
          </w:p>
        </w:tc>
      </w:tr>
    </w:tbl>
    <w:p>
      <w:pPr>
        <w:pStyle w:val="FirstParagraph"/>
      </w:pPr>
      <w:r>
        <w:t xml:space="preserve">There were 221 countries in total.</w:t>
      </w:r>
      <w:r>
        <w:t xml:space="preserve"> </w:t>
      </w:r>
      <w:r>
        <w:t xml:space="preserve">The table shows the authors’ countries where each country is counted once per article. The percentages are over all 111,609 articles.</w:t>
      </w:r>
    </w:p>
    <w:bookmarkEnd w:id="20"/>
    <w:bookmarkStart w:id="21" w:name="top-ten-subjects"/>
    <w:p>
      <w:pPr>
        <w:pStyle w:val="Heading2"/>
      </w:pPr>
      <w:r>
        <w:t xml:space="preserve">Top ten subjects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475"/>
        <w:gridCol w:w="1475"/>
      </w:tblGrid>
      <w:tr>
        <w:trPr>
          <w:trHeight w:val="61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subject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Biology and life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57568 (87)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38961 (86)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Medicine and health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50188 (75)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35535 (79)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 and analysis methods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33205 (50)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22424 (50)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24734 (37)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15586 (35)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24004 (36)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16706 (37)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People and places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20690 (31)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15380 (34)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20428 (31)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13148 (29)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Medical conditions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17256 (26)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12681 (28)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Physiology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15360 (23)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10531 (23)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Psychology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14904 (22)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10626 (24)</w:t>
            </w:r>
          </w:p>
        </w:tc>
      </w:tr>
    </w:tbl>
    <w:p>
      <w:pPr>
        <w:pStyle w:val="FirstParagraph"/>
      </w:pPr>
      <w:r>
        <w:t xml:space="preserve">There were 9346 subjects in total.</w:t>
      </w:r>
      <w:r>
        <w:t xml:space="preserve"> </w:t>
      </w:r>
      <w:r>
        <w:t xml:space="preserve">The percentages are over all 111,609 articles.</w:t>
      </w:r>
    </w:p>
    <w:bookmarkEnd w:id="21"/>
    <w:bookmarkStart w:id="22" w:name="top-ten-email-domains"/>
    <w:p>
      <w:pPr>
        <w:pStyle w:val="Heading2"/>
      </w:pPr>
      <w:r>
        <w:t xml:space="preserve">Top ten email domains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3"/>
        <w:gridCol w:w="1475"/>
        <w:gridCol w:w="1475"/>
      </w:tblGrid>
      <w:tr>
        <w:trPr>
          <w:trHeight w:val="57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22577 (34)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12958 (29)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15409 (23)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11229 (25)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9702 (15)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7821 (17)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gmail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8338 (13)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7038 (16)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3060 (5)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1480 (3)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2377 (4)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1772 (4)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2354 (4)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1365 (3)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yahoo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1683 (3)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1316 (3)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1378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734 (2)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1209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750 (2)</w:t>
            </w:r>
          </w:p>
        </w:tc>
      </w:tr>
    </w:tbl>
    <w:p>
      <w:pPr>
        <w:pStyle w:val="FirstParagraph"/>
      </w:pPr>
      <w:r>
        <w:t xml:space="preserve">Some papers had multiple emails.</w:t>
      </w:r>
      <w:r>
        <w:t xml:space="preserve"> </w:t>
      </w:r>
      <w:r>
        <w:t xml:space="preserve">There were 22 domains in total.</w:t>
      </w:r>
      <w:r>
        <w:t xml:space="preserve"> </w:t>
      </w:r>
      <w:r>
        <w:t xml:space="preserve">The percentages are over all 111,609 articles.</w:t>
      </w:r>
    </w:p>
    <w:bookmarkEnd w:id="22"/>
    <w:bookmarkStart w:id="23" w:name="top-ten-funders"/>
    <w:p>
      <w:pPr>
        <w:pStyle w:val="Heading2"/>
      </w:pPr>
      <w:r>
        <w:t xml:space="preserve">Top ten funders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24"/>
        <w:gridCol w:w="1230"/>
        <w:gridCol w:w="1230"/>
      </w:tblGrid>
      <w:tr>
        <w:trPr>
          <w:trHeight w:val="57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Natural Science Foundation of China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3365 (5)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1505 (3)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Institutes of 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3113 (5)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2108 (5)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Science Foundation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1787 (3)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1330 (3)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Wellcome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1397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1398 (3)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Ministry of Education, China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1338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721 (2)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Ministry of Education, Republic of Korea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1338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721 (2)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Institute of Allergy and Infectious Diseases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1275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791 (2)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Medical Research Council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1107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1185 (3)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 Society for the Promotion of Science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1064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835 (2)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 Research Foundation, South Africa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1007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 (1)</w:t>
            </w:r>
          </w:p>
        </w:tc>
      </w:tr>
    </w:tbl>
    <w:p>
      <w:pPr>
        <w:pStyle w:val="FirstParagraph"/>
      </w:pPr>
      <w:r>
        <w:t xml:space="preserve">Some papers had multiple funders.</w:t>
      </w:r>
      <w:r>
        <w:t xml:space="preserve"> </w:t>
      </w:r>
      <w:r>
        <w:t xml:space="preserve">There were 9093 funders in total, hence we only show the top ten.</w:t>
      </w:r>
    </w:p>
    <w:bookmarkEnd w:id="23"/>
    <w:bookmarkStart w:id="24" w:name="summary-table"/>
    <w:p>
      <w:pPr>
        <w:pStyle w:val="Heading2"/>
      </w:pPr>
      <w:r>
        <w:t xml:space="preserve">Summary table</w:t>
      </w:r>
    </w:p>
    <w:p>
      <w:pPr>
        <w:pStyle w:val="SourceCode"/>
      </w:pPr>
      <w:r>
        <w:rPr>
          <w:rStyle w:val="VerbatimChar"/>
        </w:rPr>
        <w:t xml:space="preserve">                           Stratified by review_available</w:t>
      </w:r>
      <w:r>
        <w:br/>
      </w:r>
      <w:r>
        <w:rPr>
          <w:rStyle w:val="VerbatimChar"/>
        </w:rPr>
        <w:t xml:space="preserve">                            level                                  FALSE           TRUE           </w:t>
      </w:r>
      <w:r>
        <w:br/>
      </w:r>
      <w:r>
        <w:rPr>
          <w:rStyle w:val="VerbatimChar"/>
        </w:rPr>
        <w:t xml:space="preserve">  n                                                                 66512           45097         </w:t>
      </w:r>
      <w:r>
        <w:br/>
      </w:r>
      <w:r>
        <w:rPr>
          <w:rStyle w:val="VerbatimChar"/>
        </w:rPr>
        <w:t xml:space="preserve">  review_available (%)      FALSE                                   66512 (100.0)       0 (  0.0) </w:t>
      </w:r>
      <w:r>
        <w:br/>
      </w:r>
      <w:r>
        <w:rPr>
          <w:rStyle w:val="VerbatimChar"/>
        </w:rPr>
        <w:t xml:space="preserve">                            TRUE                                        0 (  0.0)   45097 (100.0) </w:t>
      </w:r>
      <w:r>
        <w:br/>
      </w:r>
      <w:r>
        <w:rPr>
          <w:rStyle w:val="VerbatimChar"/>
        </w:rPr>
        <w:t xml:space="preserve">  year (mean (SD))                                                 2022.3 (1.7)    2022.4 (1.7)   </w:t>
      </w:r>
      <w:r>
        <w:br/>
      </w:r>
      <w:r>
        <w:rPr>
          <w:rStyle w:val="VerbatimChar"/>
        </w:rPr>
        <w:t xml:space="preserve">  n_authors (mean (SD))                                               6.8 (5.0)       7.0 (5.1)   </w:t>
      </w:r>
      <w:r>
        <w:br/>
      </w:r>
      <w:r>
        <w:rPr>
          <w:rStyle w:val="VerbatimChar"/>
        </w:rPr>
        <w:t xml:space="preserve">  author_papers (mean (SD))                                         132.6 (175.4)   139.2 (180.2) </w:t>
      </w:r>
      <w:r>
        <w:br/>
      </w:r>
      <w:r>
        <w:rPr>
          <w:rStyle w:val="VerbatimChar"/>
        </w:rPr>
        <w:t xml:space="preserve">  time_between (mean (SD))                                          176.9 (103.4)   177.2 (103.6) </w:t>
      </w:r>
      <w:r>
        <w:br/>
      </w:r>
      <w:r>
        <w:rPr>
          <w:rStyle w:val="VerbatimChar"/>
        </w:rPr>
        <w:t xml:space="preserve">  journal (%)               PLOS Biology                              663 (  1.0)    1127 (  2.5) </w:t>
      </w:r>
      <w:r>
        <w:br/>
      </w:r>
      <w:r>
        <w:rPr>
          <w:rStyle w:val="VerbatimChar"/>
        </w:rPr>
        <w:t xml:space="preserve">                            PLOS Climate                              168 (  0.3)     128 (  0.3) </w:t>
      </w:r>
      <w:r>
        <w:br/>
      </w:r>
      <w:r>
        <w:rPr>
          <w:rStyle w:val="VerbatimChar"/>
        </w:rPr>
        <w:t xml:space="preserve">                            PLOS Complex Systems                       19 (  0.0)      28 (  0.1) </w:t>
      </w:r>
      <w:r>
        <w:br/>
      </w:r>
      <w:r>
        <w:rPr>
          <w:rStyle w:val="VerbatimChar"/>
        </w:rPr>
        <w:t xml:space="preserve">                            PLOS Computational Biology               1928 (  2.9)    2207 (  4.9) </w:t>
      </w:r>
      <w:r>
        <w:br/>
      </w:r>
      <w:r>
        <w:rPr>
          <w:rStyle w:val="VerbatimChar"/>
        </w:rPr>
        <w:t xml:space="preserve">                            PLOS Digital Health                       350 (  0.5)     300 (  0.7) </w:t>
      </w:r>
      <w:r>
        <w:br/>
      </w:r>
      <w:r>
        <w:rPr>
          <w:rStyle w:val="VerbatimChar"/>
        </w:rPr>
        <w:t xml:space="preserve">                            PLOS Genetics                            1262 (  1.9)    1184 (  2.6) </w:t>
      </w:r>
      <w:r>
        <w:br/>
      </w:r>
      <w:r>
        <w:rPr>
          <w:rStyle w:val="VerbatimChar"/>
        </w:rPr>
        <w:t xml:space="preserve">                            PLOS Global Public Health                1635 (  2.5)    1618 (  3.6) </w:t>
      </w:r>
      <w:r>
        <w:br/>
      </w:r>
      <w:r>
        <w:rPr>
          <w:rStyle w:val="VerbatimChar"/>
        </w:rPr>
        <w:t xml:space="preserve">                            PLOS Medicine                             466 (  0.7)     667 (  1.5) </w:t>
      </w:r>
      <w:r>
        <w:br/>
      </w:r>
      <w:r>
        <w:rPr>
          <w:rStyle w:val="VerbatimChar"/>
        </w:rPr>
        <w:t xml:space="preserve">                            PLOS Mental Health                        131 (  0.2)      98 (  0.2) </w:t>
      </w:r>
      <w:r>
        <w:br/>
      </w:r>
      <w:r>
        <w:rPr>
          <w:rStyle w:val="VerbatimChar"/>
        </w:rPr>
        <w:t xml:space="preserve">                            PLOS Neglected Tropical Diseases         2687 (  4.0)    1450 (  3.2) </w:t>
      </w:r>
      <w:r>
        <w:br/>
      </w:r>
      <w:r>
        <w:rPr>
          <w:rStyle w:val="VerbatimChar"/>
        </w:rPr>
        <w:t xml:space="preserve">                            PLOS ONE                                54916 ( 82.6)   34928 ( 77.5) </w:t>
      </w:r>
      <w:r>
        <w:br/>
      </w:r>
      <w:r>
        <w:rPr>
          <w:rStyle w:val="VerbatimChar"/>
        </w:rPr>
        <w:t xml:space="preserve">                            PLOS Pathogens                           2096 (  3.2)    1236 (  2.7) </w:t>
      </w:r>
      <w:r>
        <w:br/>
      </w:r>
      <w:r>
        <w:rPr>
          <w:rStyle w:val="VerbatimChar"/>
        </w:rPr>
        <w:t xml:space="preserve">                            PLOS Sustainability and Transformation     45 (  0.1)      46 (  0.1) </w:t>
      </w:r>
      <w:r>
        <w:br/>
      </w:r>
      <w:r>
        <w:rPr>
          <w:rStyle w:val="VerbatimChar"/>
        </w:rPr>
        <w:t xml:space="preserve">                            PLOS Water                                146 (  0.2)      80 (  0.2) </w:t>
      </w:r>
      <w:r>
        <w:br/>
      </w:r>
      <w:r>
        <w:rPr>
          <w:rStyle w:val="VerbatimChar"/>
        </w:rPr>
        <w:t xml:space="preserve">  type (%)                  Discovery Report                           18 (  0.0)      24 (  0.1) </w:t>
      </w:r>
      <w:r>
        <w:br/>
      </w:r>
      <w:r>
        <w:rPr>
          <w:rStyle w:val="VerbatimChar"/>
        </w:rPr>
        <w:t xml:space="preserve">                            Lab Protocol                              111 (  0.2)      93 (  0.2) </w:t>
      </w:r>
      <w:r>
        <w:br/>
      </w:r>
      <w:r>
        <w:rPr>
          <w:rStyle w:val="VerbatimChar"/>
        </w:rPr>
        <w:t xml:space="preserve">                            Meta-Research Article                      11 (  0.0)      36 (  0.1) </w:t>
      </w:r>
      <w:r>
        <w:br/>
      </w:r>
      <w:r>
        <w:rPr>
          <w:rStyle w:val="VerbatimChar"/>
        </w:rPr>
        <w:t xml:space="preserve">                            Methods                                    64 (  0.1)      66 (  0.1) </w:t>
      </w:r>
      <w:r>
        <w:br/>
      </w:r>
      <w:r>
        <w:rPr>
          <w:rStyle w:val="VerbatimChar"/>
        </w:rPr>
        <w:t xml:space="preserve">                            Methods and Resources                      58 (  0.1)     141 (  0.3) </w:t>
      </w:r>
      <w:r>
        <w:br/>
      </w:r>
      <w:r>
        <w:rPr>
          <w:rStyle w:val="VerbatimChar"/>
        </w:rPr>
        <w:t xml:space="preserve">                            Preregistered Research Article              1 (  0.0)       7 (  0.0) </w:t>
      </w:r>
      <w:r>
        <w:br/>
      </w:r>
      <w:r>
        <w:rPr>
          <w:rStyle w:val="VerbatimChar"/>
        </w:rPr>
        <w:t xml:space="preserve">                            Registered Report Protocol                131 (  0.2)     121 (  0.3) </w:t>
      </w:r>
      <w:r>
        <w:br/>
      </w:r>
      <w:r>
        <w:rPr>
          <w:rStyle w:val="VerbatimChar"/>
        </w:rPr>
        <w:t xml:space="preserve">                            Research Article                        64931 ( 97.6)   43375 ( 96.2) </w:t>
      </w:r>
      <w:r>
        <w:br/>
      </w:r>
      <w:r>
        <w:rPr>
          <w:rStyle w:val="VerbatimChar"/>
        </w:rPr>
        <w:t xml:space="preserve">                            Review                                      2 (  0.0)       1 (  0.0) </w:t>
      </w:r>
      <w:r>
        <w:br/>
      </w:r>
      <w:r>
        <w:rPr>
          <w:rStyle w:val="VerbatimChar"/>
        </w:rPr>
        <w:t xml:space="preserve">                            Short Reports                             110 (  0.2)     149 (  0.3) </w:t>
      </w:r>
      <w:r>
        <w:br/>
      </w:r>
      <w:r>
        <w:rPr>
          <w:rStyle w:val="VerbatimChar"/>
        </w:rPr>
        <w:t xml:space="preserve">                            Software                                   23 (  0.0)      29 (  0.1) </w:t>
      </w:r>
      <w:r>
        <w:br/>
      </w:r>
      <w:r>
        <w:rPr>
          <w:rStyle w:val="VerbatimChar"/>
        </w:rPr>
        <w:t xml:space="preserve">                            Study Protocol                           1039 (  1.6)    1043 (  2.3) </w:t>
      </w:r>
      <w:r>
        <w:br/>
      </w:r>
      <w:r>
        <w:rPr>
          <w:rStyle w:val="VerbatimChar"/>
        </w:rPr>
        <w:t xml:space="preserve">                            Update Article                             13 (  0.0)      12 (  0.0) </w:t>
      </w:r>
      <w:r>
        <w:br/>
      </w:r>
      <w:r>
        <w:rPr>
          <w:rStyle w:val="VerbatimChar"/>
        </w:rPr>
        <w:t xml:space="preserve">  citations (mean (SD))                                              13.5 (30.6)     14.3 (35.4)  </w:t>
      </w:r>
      <w:r>
        <w:br/>
      </w:r>
      <w:r>
        <w:rPr>
          <w:rStyle w:val="VerbatimChar"/>
        </w:rPr>
        <w:t xml:space="preserve">  retracted (%)             FALSE                                   66210 ( 99.5)   45009 ( 99.8) </w:t>
      </w:r>
      <w:r>
        <w:br/>
      </w:r>
      <w:r>
        <w:rPr>
          <w:rStyle w:val="VerbatimChar"/>
        </w:rPr>
        <w:t xml:space="preserve">                            TRUE                                      302 (  0.5)      88 (  0.2) </w:t>
      </w:r>
    </w:p>
    <w:bookmarkEnd w:id="24"/>
    <w:bookmarkStart w:id="28" w:name="openness-over-time"/>
    <w:p>
      <w:pPr>
        <w:pStyle w:val="Heading2"/>
      </w:pPr>
      <w:r>
        <w:t xml:space="preserve">Openness over time</w:t>
      </w:r>
    </w:p>
    <w:p>
      <w:pPr>
        <w:pStyle w:val="FirstParagraph"/>
      </w:pPr>
      <w:r>
        <w:drawing>
          <wp:inline>
            <wp:extent cx="4583458" cy="366676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T:/OAJUKW6443/results/3_summary_table_files/figure-docx/time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plot shows the yearly proportion and 95% confidence interval.</w:t>
      </w:r>
    </w:p>
    <w:p>
      <w:pPr>
        <w:pStyle w:val="BodyText"/>
      </w:pPr>
      <w:r>
        <w:t xml:space="preserve">There was an increase over time in the proportion of authors choosing open review.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statistics, tables and plots</dc:title>
  <dc:creator>Adrian Barnett</dc:creator>
  <cp:keywords/>
  <dcterms:created xsi:type="dcterms:W3CDTF">2026-01-12T04:54:55Z</dcterms:created>
  <dcterms:modified xsi:type="dcterms:W3CDTF">2026-01-12T04:54:55Z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January 2026</vt:lpwstr>
  </property>
  <property fmtid="{D5CDD505-2E9C-101B-9397-08002B2CF9AE}" pid="3" name="knit">
    <vt:lpwstr>(function(inputFile, encoding) { rmarkdown::render(inputFile, encoding = encoding, output_dir = “reports”) })</vt:lpwstr>
  </property>
  <property fmtid="{D5CDD505-2E9C-101B-9397-08002B2CF9AE}" pid="4" name="output">
    <vt:lpwstr>word_document</vt:lpwstr>
  </property>
</Properties>
</file>