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Retraction</w:t>
      </w:r>
      <w:r>
        <w:t xml:space="preserve"> </w:t>
      </w:r>
      <w:r>
        <w:t xml:space="preserve">Watch</w:t>
      </w:r>
      <w:r>
        <w:t xml:space="preserve"> </w:t>
      </w:r>
      <w:r>
        <w:t xml:space="preserve">data</w:t>
      </w:r>
      <w:r>
        <w:t xml:space="preserve"> </w:t>
      </w:r>
      <w:r>
        <w:t xml:space="preserve">for</w:t>
      </w:r>
      <w:r>
        <w:t xml:space="preserve"> </w:t>
      </w:r>
      <w:r>
        <w:t xml:space="preserve">Australia</w:t>
      </w:r>
    </w:p>
    <w:p>
      <w:pPr>
        <w:pStyle w:val="Author"/>
      </w:pPr>
      <w:r>
        <w:t xml:space="preserve">Adrian</w:t>
      </w:r>
      <w:r>
        <w:t xml:space="preserve"> </w:t>
      </w:r>
      <w:r>
        <w:t xml:space="preserve">Barnett</w:t>
      </w:r>
    </w:p>
    <w:p>
      <w:pPr>
        <w:pStyle w:val="Date"/>
      </w:pPr>
      <w:r>
        <w:t xml:space="preserve">18</w:t>
      </w:r>
      <w:r>
        <w:t xml:space="preserve"> </w:t>
      </w:r>
      <w:r>
        <w:t xml:space="preserve">May</w:t>
      </w:r>
      <w:r>
        <w:t xml:space="preserve"> </w:t>
      </w:r>
      <w:r>
        <w:t xml:space="preserve">2019</w:t>
      </w:r>
    </w:p>
    <w:p>
      <w:pPr>
        <w:pStyle w:val="FirstParagraph"/>
      </w:pPr>
      <w:r>
        <w:t xml:space="preserve">There are 284 cases from Australia in the Retraction watch database as of 15-May-2019.</w:t>
      </w:r>
    </w:p>
    <w:p>
      <w:pPr>
        <w:pStyle w:val="Heading1"/>
      </w:pPr>
      <w:bookmarkStart w:id="20" w:name="retractions-over-over-time"/>
      <w:r>
        <w:t xml:space="preserve">Retractions over over time</w:t>
      </w:r>
      <w:bookmarkEnd w:id="20"/>
    </w:p>
    <w:p>
      <w:pPr>
        <w:pStyle w:val="Heading2"/>
      </w:pPr>
      <w:bookmarkStart w:id="21" w:name="publication-dates-over-time"/>
      <w:r>
        <w:t xml:space="preserve">Publication dates over time</w:t>
      </w:r>
      <w:bookmarkEnd w:id="21"/>
    </w:p>
    <w:p>
      <w:pPr>
        <w:pStyle w:val="FirstParagraph"/>
      </w:pPr>
      <w:r>
        <w:t xml:space="preserve">The plot below shows the dates over time that the papers were published.</w:t>
      </w:r>
    </w:p>
    <w:p>
      <w:pPr>
        <w:pStyle w:val="BodyText"/>
      </w:pPr>
      <w:r>
        <w:drawing>
          <wp:inline>
            <wp:extent cx="5334000" cy="4148666"/>
            <wp:effectExtent b="0" l="0" r="0" t="0"/>
            <wp:docPr descr="" title="" id="1" name="Picture"/>
            <a:graphic>
              <a:graphicData uri="http://schemas.openxmlformats.org/drawingml/2006/picture">
                <pic:pic>
                  <pic:nvPicPr>
                    <pic:cNvPr descr="1_retraction_australia_files/figure-docx/over.time-1.png" id="0" name="Picture"/>
                    <pic:cNvPicPr>
                      <a:picLocks noChangeArrowheads="1" noChangeAspect="1"/>
                    </pic:cNvPicPr>
                  </pic:nvPicPr>
                  <pic:blipFill>
                    <a:blip r:embed="rId22"/>
                    <a:stretch>
                      <a:fillRect/>
                    </a:stretch>
                  </pic:blipFill>
                  <pic:spPr bwMode="auto">
                    <a:xfrm>
                      <a:off x="0" y="0"/>
                      <a:ext cx="5334000" cy="4148666"/>
                    </a:xfrm>
                    <a:prstGeom prst="rect">
                      <a:avLst/>
                    </a:prstGeom>
                    <a:noFill/>
                    <a:ln w="9525">
                      <a:noFill/>
                      <a:headEnd/>
                      <a:tailEnd/>
                    </a:ln>
                  </pic:spPr>
                </pic:pic>
              </a:graphicData>
            </a:graphic>
          </wp:inline>
        </w:drawing>
      </w:r>
    </w:p>
    <w:p>
      <w:pPr>
        <w:pStyle w:val="Heading2"/>
      </w:pPr>
      <w:bookmarkStart w:id="23" w:name="retraction-dates-over-time"/>
      <w:r>
        <w:t xml:space="preserve">Retraction dates over time</w:t>
      </w:r>
      <w:bookmarkEnd w:id="23"/>
    </w:p>
    <w:p>
      <w:pPr>
        <w:pStyle w:val="FirstParagraph"/>
      </w:pPr>
      <w:r>
        <w:t xml:space="preserve">The plot below shows the dates over time that the papers were retracted.</w:t>
      </w:r>
    </w:p>
    <w:p>
      <w:pPr>
        <w:pStyle w:val="BodyText"/>
      </w:pPr>
      <w:r>
        <w:drawing>
          <wp:inline>
            <wp:extent cx="5334000" cy="4148666"/>
            <wp:effectExtent b="0" l="0" r="0" t="0"/>
            <wp:docPr descr="" title="" id="1" name="Picture"/>
            <a:graphic>
              <a:graphicData uri="http://schemas.openxmlformats.org/drawingml/2006/picture">
                <pic:pic>
                  <pic:nvPicPr>
                    <pic:cNvPr descr="1_retraction_australia_files/figure-docx/over.time.retraction-1.png" id="0" name="Picture"/>
                    <pic:cNvPicPr>
                      <a:picLocks noChangeArrowheads="1" noChangeAspect="1"/>
                    </pic:cNvPicPr>
                  </pic:nvPicPr>
                  <pic:blipFill>
                    <a:blip r:embed="rId24"/>
                    <a:stretch>
                      <a:fillRect/>
                    </a:stretch>
                  </pic:blipFill>
                  <pic:spPr bwMode="auto">
                    <a:xfrm>
                      <a:off x="0" y="0"/>
                      <a:ext cx="5334000" cy="4148666"/>
                    </a:xfrm>
                    <a:prstGeom prst="rect">
                      <a:avLst/>
                    </a:prstGeom>
                    <a:noFill/>
                    <a:ln w="9525">
                      <a:noFill/>
                      <a:headEnd/>
                      <a:tailEnd/>
                    </a:ln>
                  </pic:spPr>
                </pic:pic>
              </a:graphicData>
            </a:graphic>
          </wp:inline>
        </w:drawing>
      </w:r>
    </w:p>
    <w:p>
      <w:pPr>
        <w:pStyle w:val="Heading1"/>
      </w:pPr>
      <w:bookmarkStart w:id="25" w:name="countries"/>
      <w:r>
        <w:t xml:space="preserve">Countries</w:t>
      </w:r>
      <w:bookmarkEnd w:id="25"/>
    </w:p>
    <w:p>
      <w:pPr>
        <w:pStyle w:val="FirstParagraph"/>
      </w:pPr>
      <w:r>
        <w:t xml:space="preserve">The table below shows the top ten countries bar Australia. Australia was involved in every case. Some papers involved multiple countries so the total is greater than the total number of papers. All countries outside the top ten are grouped together as</w:t>
      </w:r>
      <w:r>
        <w:t xml:space="preserve"> </w:t>
      </w:r>
      <w:r>
        <w:t xml:space="preserve">“</w:t>
      </w:r>
      <w:r>
        <w:t xml:space="preserve">Other</w:t>
      </w:r>
      <w:r>
        <w:t xml:space="preserve">”</w:t>
      </w:r>
      <w:r>
        <w:t xml:space="preserve">.</w:t>
      </w:r>
    </w:p>
    <w:tbl>
      <w:tblPr>
        <w:tblStyle w:val="Table"/>
        <w:tblW w:type="pct" w:w="3333.3333333333335"/>
        <w:tblLook w:firstRow="1"/>
      </w:tblPr>
      <w:tblGrid>
        <w:gridCol w:w="770"/>
        <w:gridCol w:w="1870"/>
        <w:gridCol w:w="1540"/>
        <w:gridCol w:w="1100"/>
      </w:tblGrid>
      <w:tr>
        <w:trPr>
          <w:cnfStyle w:firstRow="1"/>
        </w:trPr>
        <w:tc>
          <w:tcPr>
            <w:tcBorders>
              <w:bottom w:val="single"/>
            </w:tcBorders>
            <w:vAlign w:val="bottom"/>
          </w:tcPr>
          <w:p>
            <w:pPr>
              <w:pStyle w:val="Compact"/>
              <w:jc w:val="center"/>
            </w:pPr>
            <w:r>
              <w:t xml:space="preserve">rank</w:t>
            </w:r>
          </w:p>
        </w:tc>
        <w:tc>
          <w:tcPr>
            <w:tcBorders>
              <w:bottom w:val="single"/>
            </w:tcBorders>
            <w:vAlign w:val="bottom"/>
          </w:tcPr>
          <w:p>
            <w:pPr>
              <w:pStyle w:val="Compact"/>
              <w:jc w:val="center"/>
            </w:pPr>
            <w:r>
              <w:t xml:space="preserve">Country</w:t>
            </w:r>
          </w:p>
        </w:tc>
        <w:tc>
          <w:tcPr>
            <w:tcBorders>
              <w:bottom w:val="single"/>
            </w:tcBorders>
            <w:vAlign w:val="bottom"/>
          </w:tcPr>
          <w:p>
            <w:pPr>
              <w:pStyle w:val="Compact"/>
              <w:jc w:val="center"/>
            </w:pPr>
            <w:r>
              <w:t xml:space="preserve">Submissions</w:t>
            </w:r>
          </w:p>
        </w:tc>
        <w:tc>
          <w:tcPr>
            <w:tcBorders>
              <w:bottom w:val="single"/>
            </w:tcBorders>
            <w:vAlign w:val="bottom"/>
          </w:tcPr>
          <w:p>
            <w:pPr>
              <w:pStyle w:val="Compact"/>
              <w:jc w:val="center"/>
            </w:pPr>
            <w:r>
              <w:t xml:space="preserve">Percent</w:t>
            </w:r>
          </w:p>
        </w:tc>
      </w:tr>
      <w:tr>
        <w:tc>
          <w:p>
            <w:pPr>
              <w:pStyle w:val="Compact"/>
              <w:jc w:val="center"/>
            </w:pPr>
            <w:r>
              <w:t xml:space="preserve">1</w:t>
            </w:r>
          </w:p>
        </w:tc>
        <w:tc>
          <w:p>
            <w:pPr>
              <w:pStyle w:val="Compact"/>
              <w:jc w:val="center"/>
            </w:pPr>
            <w:r>
              <w:t xml:space="preserve">Other</w:t>
            </w:r>
          </w:p>
        </w:tc>
        <w:tc>
          <w:p>
            <w:pPr>
              <w:pStyle w:val="Compact"/>
              <w:jc w:val="center"/>
            </w:pPr>
            <w:r>
              <w:t xml:space="preserve">57</w:t>
            </w:r>
          </w:p>
        </w:tc>
        <w:tc>
          <w:p>
            <w:pPr>
              <w:pStyle w:val="Compact"/>
              <w:jc w:val="center"/>
            </w:pPr>
            <w:r>
              <w:t xml:space="preserve">29.1</w:t>
            </w:r>
          </w:p>
        </w:tc>
      </w:tr>
      <w:tr>
        <w:tc>
          <w:p>
            <w:pPr>
              <w:pStyle w:val="Compact"/>
              <w:jc w:val="center"/>
            </w:pPr>
            <w:r>
              <w:t xml:space="preserve">2</w:t>
            </w:r>
          </w:p>
        </w:tc>
        <w:tc>
          <w:p>
            <w:pPr>
              <w:pStyle w:val="Compact"/>
              <w:jc w:val="center"/>
            </w:pPr>
            <w:r>
              <w:t xml:space="preserve">China</w:t>
            </w:r>
          </w:p>
        </w:tc>
        <w:tc>
          <w:p>
            <w:pPr>
              <w:pStyle w:val="Compact"/>
              <w:jc w:val="center"/>
            </w:pPr>
            <w:r>
              <w:t xml:space="preserve">40</w:t>
            </w:r>
          </w:p>
        </w:tc>
        <w:tc>
          <w:p>
            <w:pPr>
              <w:pStyle w:val="Compact"/>
              <w:jc w:val="center"/>
            </w:pPr>
            <w:r>
              <w:t xml:space="preserve">20.4</w:t>
            </w:r>
          </w:p>
        </w:tc>
      </w:tr>
      <w:tr>
        <w:tc>
          <w:p>
            <w:pPr>
              <w:pStyle w:val="Compact"/>
              <w:jc w:val="center"/>
            </w:pPr>
            <w:r>
              <w:t xml:space="preserve">3</w:t>
            </w:r>
          </w:p>
        </w:tc>
        <w:tc>
          <w:p>
            <w:pPr>
              <w:pStyle w:val="Compact"/>
              <w:jc w:val="center"/>
            </w:pPr>
            <w:r>
              <w:t xml:space="preserve">United States</w:t>
            </w:r>
          </w:p>
        </w:tc>
        <w:tc>
          <w:p>
            <w:pPr>
              <w:pStyle w:val="Compact"/>
              <w:jc w:val="center"/>
            </w:pPr>
            <w:r>
              <w:t xml:space="preserve">37</w:t>
            </w:r>
          </w:p>
        </w:tc>
        <w:tc>
          <w:p>
            <w:pPr>
              <w:pStyle w:val="Compact"/>
              <w:jc w:val="center"/>
            </w:pPr>
            <w:r>
              <w:t xml:space="preserve">18.9</w:t>
            </w:r>
          </w:p>
        </w:tc>
      </w:tr>
      <w:tr>
        <w:tc>
          <w:p>
            <w:pPr>
              <w:pStyle w:val="Compact"/>
              <w:jc w:val="center"/>
            </w:pPr>
            <w:r>
              <w:t xml:space="preserve">4</w:t>
            </w:r>
          </w:p>
        </w:tc>
        <w:tc>
          <w:p>
            <w:pPr>
              <w:pStyle w:val="Compact"/>
              <w:jc w:val="center"/>
            </w:pPr>
            <w:r>
              <w:t xml:space="preserve">United Kingdom</w:t>
            </w:r>
          </w:p>
        </w:tc>
        <w:tc>
          <w:p>
            <w:pPr>
              <w:pStyle w:val="Compact"/>
              <w:jc w:val="center"/>
            </w:pPr>
            <w:r>
              <w:t xml:space="preserve">16</w:t>
            </w:r>
          </w:p>
        </w:tc>
        <w:tc>
          <w:p>
            <w:pPr>
              <w:pStyle w:val="Compact"/>
              <w:jc w:val="center"/>
            </w:pPr>
            <w:r>
              <w:t xml:space="preserve">8.2</w:t>
            </w:r>
          </w:p>
        </w:tc>
      </w:tr>
      <w:tr>
        <w:tc>
          <w:p>
            <w:pPr>
              <w:pStyle w:val="Compact"/>
              <w:jc w:val="center"/>
            </w:pPr>
            <w:r>
              <w:t xml:space="preserve">6</w:t>
            </w:r>
          </w:p>
        </w:tc>
        <w:tc>
          <w:p>
            <w:pPr>
              <w:pStyle w:val="Compact"/>
              <w:jc w:val="center"/>
            </w:pPr>
            <w:r>
              <w:t xml:space="preserve">Germany</w:t>
            </w:r>
          </w:p>
        </w:tc>
        <w:tc>
          <w:p>
            <w:pPr>
              <w:pStyle w:val="Compact"/>
              <w:jc w:val="center"/>
            </w:pPr>
            <w:r>
              <w:t xml:space="preserve">9</w:t>
            </w:r>
          </w:p>
        </w:tc>
        <w:tc>
          <w:p>
            <w:pPr>
              <w:pStyle w:val="Compact"/>
              <w:jc w:val="center"/>
            </w:pPr>
            <w:r>
              <w:t xml:space="preserve">4.6</w:t>
            </w:r>
          </w:p>
        </w:tc>
      </w:tr>
      <w:tr>
        <w:tc>
          <w:p>
            <w:pPr>
              <w:pStyle w:val="Compact"/>
              <w:jc w:val="center"/>
            </w:pPr>
            <w:r>
              <w:t xml:space="preserve">6</w:t>
            </w:r>
          </w:p>
        </w:tc>
        <w:tc>
          <w:p>
            <w:pPr>
              <w:pStyle w:val="Compact"/>
              <w:jc w:val="center"/>
            </w:pPr>
            <w:r>
              <w:t xml:space="preserve">Italy</w:t>
            </w:r>
          </w:p>
        </w:tc>
        <w:tc>
          <w:p>
            <w:pPr>
              <w:pStyle w:val="Compact"/>
              <w:jc w:val="center"/>
            </w:pPr>
            <w:r>
              <w:t xml:space="preserve">9</w:t>
            </w:r>
          </w:p>
        </w:tc>
        <w:tc>
          <w:p>
            <w:pPr>
              <w:pStyle w:val="Compact"/>
              <w:jc w:val="center"/>
            </w:pPr>
            <w:r>
              <w:t xml:space="preserve">4.6</w:t>
            </w:r>
          </w:p>
        </w:tc>
      </w:tr>
      <w:tr>
        <w:tc>
          <w:p>
            <w:pPr>
              <w:pStyle w:val="Compact"/>
              <w:jc w:val="center"/>
            </w:pPr>
            <w:r>
              <w:t xml:space="preserve">7</w:t>
            </w:r>
          </w:p>
        </w:tc>
        <w:tc>
          <w:p>
            <w:pPr>
              <w:pStyle w:val="Compact"/>
              <w:jc w:val="center"/>
            </w:pPr>
            <w:r>
              <w:t xml:space="preserve">Canada</w:t>
            </w:r>
          </w:p>
        </w:tc>
        <w:tc>
          <w:p>
            <w:pPr>
              <w:pStyle w:val="Compact"/>
              <w:jc w:val="center"/>
            </w:pPr>
            <w:r>
              <w:t xml:space="preserve">7</w:t>
            </w:r>
          </w:p>
        </w:tc>
        <w:tc>
          <w:p>
            <w:pPr>
              <w:pStyle w:val="Compact"/>
              <w:jc w:val="center"/>
            </w:pPr>
            <w:r>
              <w:t xml:space="preserve">3.6</w:t>
            </w:r>
          </w:p>
        </w:tc>
      </w:tr>
      <w:tr>
        <w:tc>
          <w:p>
            <w:pPr>
              <w:pStyle w:val="Compact"/>
              <w:jc w:val="center"/>
            </w:pPr>
            <w:r>
              <w:t xml:space="preserve">8</w:t>
            </w:r>
          </w:p>
        </w:tc>
        <w:tc>
          <w:p>
            <w:pPr>
              <w:pStyle w:val="Compact"/>
              <w:jc w:val="center"/>
            </w:pPr>
            <w:r>
              <w:t xml:space="preserve">Netherlands</w:t>
            </w:r>
          </w:p>
        </w:tc>
        <w:tc>
          <w:p>
            <w:pPr>
              <w:pStyle w:val="Compact"/>
              <w:jc w:val="center"/>
            </w:pPr>
            <w:r>
              <w:t xml:space="preserve">6</w:t>
            </w:r>
          </w:p>
        </w:tc>
        <w:tc>
          <w:p>
            <w:pPr>
              <w:pStyle w:val="Compact"/>
              <w:jc w:val="center"/>
            </w:pPr>
            <w:r>
              <w:t xml:space="preserve">3.1</w:t>
            </w:r>
          </w:p>
        </w:tc>
      </w:tr>
      <w:tr>
        <w:tc>
          <w:p>
            <w:pPr>
              <w:pStyle w:val="Compact"/>
              <w:jc w:val="center"/>
            </w:pPr>
            <w:r>
              <w:t xml:space="preserve">10</w:t>
            </w:r>
          </w:p>
        </w:tc>
        <w:tc>
          <w:p>
            <w:pPr>
              <w:pStyle w:val="Compact"/>
              <w:jc w:val="center"/>
            </w:pPr>
            <w:r>
              <w:t xml:space="preserve">France</w:t>
            </w:r>
          </w:p>
        </w:tc>
        <w:tc>
          <w:p>
            <w:pPr>
              <w:pStyle w:val="Compact"/>
              <w:jc w:val="center"/>
            </w:pPr>
            <w:r>
              <w:t xml:space="preserve">5</w:t>
            </w:r>
          </w:p>
        </w:tc>
        <w:tc>
          <w:p>
            <w:pPr>
              <w:pStyle w:val="Compact"/>
              <w:jc w:val="center"/>
            </w:pPr>
            <w:r>
              <w:t xml:space="preserve">2.6</w:t>
            </w:r>
          </w:p>
        </w:tc>
      </w:tr>
      <w:tr>
        <w:tc>
          <w:p>
            <w:pPr>
              <w:pStyle w:val="Compact"/>
              <w:jc w:val="center"/>
            </w:pPr>
            <w:r>
              <w:t xml:space="preserve">10</w:t>
            </w:r>
          </w:p>
        </w:tc>
        <w:tc>
          <w:p>
            <w:pPr>
              <w:pStyle w:val="Compact"/>
              <w:jc w:val="center"/>
            </w:pPr>
            <w:r>
              <w:t xml:space="preserve">Hong Kong</w:t>
            </w:r>
          </w:p>
        </w:tc>
        <w:tc>
          <w:p>
            <w:pPr>
              <w:pStyle w:val="Compact"/>
              <w:jc w:val="center"/>
            </w:pPr>
            <w:r>
              <w:t xml:space="preserve">5</w:t>
            </w:r>
          </w:p>
        </w:tc>
        <w:tc>
          <w:p>
            <w:pPr>
              <w:pStyle w:val="Compact"/>
              <w:jc w:val="center"/>
            </w:pPr>
            <w:r>
              <w:t xml:space="preserve">2.6</w:t>
            </w:r>
          </w:p>
        </w:tc>
      </w:tr>
      <w:tr>
        <w:tc>
          <w:p>
            <w:pPr>
              <w:pStyle w:val="Compact"/>
              <w:jc w:val="center"/>
            </w:pPr>
            <w:r>
              <w:t xml:space="preserve">10</w:t>
            </w:r>
          </w:p>
        </w:tc>
        <w:tc>
          <w:p>
            <w:pPr>
              <w:pStyle w:val="Compact"/>
              <w:jc w:val="center"/>
            </w:pPr>
            <w:r>
              <w:t xml:space="preserve">Sweden</w:t>
            </w:r>
          </w:p>
        </w:tc>
        <w:tc>
          <w:p>
            <w:pPr>
              <w:pStyle w:val="Compact"/>
              <w:jc w:val="center"/>
            </w:pPr>
            <w:r>
              <w:t xml:space="preserve">5</w:t>
            </w:r>
          </w:p>
        </w:tc>
        <w:tc>
          <w:p>
            <w:pPr>
              <w:pStyle w:val="Compact"/>
              <w:jc w:val="center"/>
            </w:pPr>
            <w:r>
              <w:t xml:space="preserve">2.6</w:t>
            </w:r>
          </w:p>
        </w:tc>
      </w:tr>
      <w:tr>
        <w:tc>
          <w:p>
            <w:pPr>
              <w:pStyle w:val="Compact"/>
              <w:jc w:val="center"/>
            </w:pPr>
            <w:r>
              <w:t xml:space="preserve">NA</w:t>
            </w:r>
          </w:p>
        </w:tc>
        <w:tc>
          <w:p>
            <w:pPr>
              <w:pStyle w:val="Compact"/>
              <w:jc w:val="center"/>
            </w:pPr>
            <w:r>
              <w:t xml:space="preserve">Total</w:t>
            </w:r>
          </w:p>
        </w:tc>
        <w:tc>
          <w:p>
            <w:pPr>
              <w:pStyle w:val="Compact"/>
              <w:jc w:val="center"/>
            </w:pPr>
            <w:r>
              <w:t xml:space="preserve">196</w:t>
            </w:r>
          </w:p>
        </w:tc>
        <w:tc>
          <w:p>
            <w:pPr>
              <w:pStyle w:val="Compact"/>
              <w:jc w:val="center"/>
            </w:pPr>
            <w:r>
              <w:t xml:space="preserve">100.0</w:t>
            </w:r>
          </w:p>
        </w:tc>
      </w:tr>
    </w:tbl>
    <w:p>
      <w:pPr>
        <w:pStyle w:val="Heading1"/>
      </w:pPr>
      <w:bookmarkStart w:id="26" w:name="reasons"/>
      <w:r>
        <w:t xml:space="preserve">Reasons</w:t>
      </w:r>
      <w:bookmarkEnd w:id="26"/>
    </w:p>
    <w:p>
      <w:pPr>
        <w:pStyle w:val="FirstParagraph"/>
      </w:pPr>
      <w:r>
        <w:t xml:space="preserve">The table below shows the top ten reasons, with all other reasons outside the top ten being groups as</w:t>
      </w:r>
      <w:r>
        <w:t xml:space="preserve"> </w:t>
      </w:r>
      <w:r>
        <w:t xml:space="preserve">“</w:t>
      </w:r>
      <w:r>
        <w:t xml:space="preserve">Other</w:t>
      </w:r>
      <w:r>
        <w:t xml:space="preserve">”</w:t>
      </w:r>
      <w:r>
        <w:t xml:space="preserve">. Many papers had multiple reasons so the total is greater than the total number of papers.</w:t>
      </w:r>
    </w:p>
    <w:tbl>
      <w:tblPr>
        <w:tblStyle w:val="Table"/>
        <w:tblW w:type="pct" w:w="4444.444444444444"/>
        <w:tblLook w:firstRow="1"/>
      </w:tblPr>
      <w:tblGrid>
        <w:gridCol w:w="770"/>
        <w:gridCol w:w="4290"/>
        <w:gridCol w:w="880"/>
        <w:gridCol w:w="1100"/>
      </w:tblGrid>
      <w:tr>
        <w:trPr>
          <w:cnfStyle w:firstRow="1"/>
        </w:trPr>
        <w:tc>
          <w:tcPr>
            <w:tcBorders>
              <w:bottom w:val="single"/>
            </w:tcBorders>
            <w:vAlign w:val="bottom"/>
          </w:tcPr>
          <w:p>
            <w:pPr>
              <w:pStyle w:val="Compact"/>
              <w:jc w:val="center"/>
            </w:pPr>
            <w:r>
              <w:t xml:space="preserve">rank</w:t>
            </w:r>
          </w:p>
        </w:tc>
        <w:tc>
          <w:tcPr>
            <w:tcBorders>
              <w:bottom w:val="single"/>
            </w:tcBorders>
            <w:vAlign w:val="bottom"/>
          </w:tcPr>
          <w:p>
            <w:pPr>
              <w:pStyle w:val="Compact"/>
              <w:jc w:val="center"/>
            </w:pPr>
            <w:r>
              <w:t xml:space="preserve">Reason</w:t>
            </w:r>
          </w:p>
        </w:tc>
        <w:tc>
          <w:tcPr>
            <w:tcBorders>
              <w:bottom w:val="single"/>
            </w:tcBorders>
            <w:vAlign w:val="bottom"/>
          </w:tcPr>
          <w:p>
            <w:pPr>
              <w:pStyle w:val="Compact"/>
              <w:jc w:val="center"/>
            </w:pPr>
            <w:r>
              <w:t xml:space="preserve">Count</w:t>
            </w:r>
          </w:p>
        </w:tc>
        <w:tc>
          <w:tcPr>
            <w:tcBorders>
              <w:bottom w:val="single"/>
            </w:tcBorders>
            <w:vAlign w:val="bottom"/>
          </w:tcPr>
          <w:p>
            <w:pPr>
              <w:pStyle w:val="Compact"/>
              <w:jc w:val="center"/>
            </w:pPr>
            <w:r>
              <w:t xml:space="preserve">Percent</w:t>
            </w:r>
          </w:p>
        </w:tc>
      </w:tr>
      <w:tr>
        <w:tc>
          <w:p>
            <w:pPr>
              <w:pStyle w:val="Compact"/>
              <w:jc w:val="center"/>
            </w:pPr>
            <w:r>
              <w:t xml:space="preserve">1</w:t>
            </w:r>
          </w:p>
        </w:tc>
        <w:tc>
          <w:p>
            <w:pPr>
              <w:pStyle w:val="Compact"/>
              <w:jc w:val="center"/>
            </w:pPr>
            <w:r>
              <w:t xml:space="preserve">Other</w:t>
            </w:r>
          </w:p>
        </w:tc>
        <w:tc>
          <w:p>
            <w:pPr>
              <w:pStyle w:val="Compact"/>
              <w:jc w:val="center"/>
            </w:pPr>
            <w:r>
              <w:t xml:space="preserve">376</w:t>
            </w:r>
          </w:p>
        </w:tc>
        <w:tc>
          <w:p>
            <w:pPr>
              <w:pStyle w:val="Compact"/>
              <w:jc w:val="center"/>
            </w:pPr>
            <w:r>
              <w:t xml:space="preserve">59.6</w:t>
            </w:r>
          </w:p>
        </w:tc>
      </w:tr>
      <w:tr>
        <w:tc>
          <w:p>
            <w:pPr>
              <w:pStyle w:val="Compact"/>
              <w:jc w:val="center"/>
            </w:pPr>
            <w:r>
              <w:t xml:space="preserve">2</w:t>
            </w:r>
          </w:p>
        </w:tc>
        <w:tc>
          <w:p>
            <w:pPr>
              <w:pStyle w:val="Compact"/>
              <w:jc w:val="center"/>
            </w:pPr>
            <w:r>
              <w:t xml:space="preserve">Notice - Limited or No Information</w:t>
            </w:r>
          </w:p>
        </w:tc>
        <w:tc>
          <w:p>
            <w:pPr>
              <w:pStyle w:val="Compact"/>
              <w:jc w:val="center"/>
            </w:pPr>
            <w:r>
              <w:t xml:space="preserve">46</w:t>
            </w:r>
          </w:p>
        </w:tc>
        <w:tc>
          <w:p>
            <w:pPr>
              <w:pStyle w:val="Compact"/>
              <w:jc w:val="center"/>
            </w:pPr>
            <w:r>
              <w:t xml:space="preserve">7.3</w:t>
            </w:r>
          </w:p>
        </w:tc>
      </w:tr>
      <w:tr>
        <w:tc>
          <w:p>
            <w:pPr>
              <w:pStyle w:val="Compact"/>
              <w:jc w:val="center"/>
            </w:pPr>
            <w:r>
              <w:t xml:space="preserve">3</w:t>
            </w:r>
          </w:p>
        </w:tc>
        <w:tc>
          <w:p>
            <w:pPr>
              <w:pStyle w:val="Compact"/>
              <w:jc w:val="center"/>
            </w:pPr>
            <w:r>
              <w:t xml:space="preserve">Error in Data</w:t>
            </w:r>
          </w:p>
        </w:tc>
        <w:tc>
          <w:p>
            <w:pPr>
              <w:pStyle w:val="Compact"/>
              <w:jc w:val="center"/>
            </w:pPr>
            <w:r>
              <w:t xml:space="preserve">34</w:t>
            </w:r>
          </w:p>
        </w:tc>
        <w:tc>
          <w:p>
            <w:pPr>
              <w:pStyle w:val="Compact"/>
              <w:jc w:val="center"/>
            </w:pPr>
            <w:r>
              <w:t xml:space="preserve">5.4</w:t>
            </w:r>
          </w:p>
        </w:tc>
      </w:tr>
      <w:tr>
        <w:tc>
          <w:p>
            <w:pPr>
              <w:pStyle w:val="Compact"/>
              <w:jc w:val="center"/>
            </w:pPr>
            <w:r>
              <w:t xml:space="preserve">4</w:t>
            </w:r>
          </w:p>
        </w:tc>
        <w:tc>
          <w:p>
            <w:pPr>
              <w:pStyle w:val="Compact"/>
              <w:jc w:val="center"/>
            </w:pPr>
            <w:r>
              <w:t xml:space="preserve">Duplication of Article</w:t>
            </w:r>
          </w:p>
        </w:tc>
        <w:tc>
          <w:p>
            <w:pPr>
              <w:pStyle w:val="Compact"/>
              <w:jc w:val="center"/>
            </w:pPr>
            <w:r>
              <w:t xml:space="preserve">29</w:t>
            </w:r>
          </w:p>
        </w:tc>
        <w:tc>
          <w:p>
            <w:pPr>
              <w:pStyle w:val="Compact"/>
              <w:jc w:val="center"/>
            </w:pPr>
            <w:r>
              <w:t xml:space="preserve">4.6</w:t>
            </w:r>
          </w:p>
        </w:tc>
      </w:tr>
      <w:tr>
        <w:tc>
          <w:p>
            <w:pPr>
              <w:pStyle w:val="Compact"/>
              <w:jc w:val="center"/>
            </w:pPr>
            <w:r>
              <w:t xml:space="preserve">5</w:t>
            </w:r>
          </w:p>
        </w:tc>
        <w:tc>
          <w:p>
            <w:pPr>
              <w:pStyle w:val="Compact"/>
              <w:jc w:val="center"/>
            </w:pPr>
            <w:r>
              <w:t xml:space="preserve">Investigation by Journal/Publisher</w:t>
            </w:r>
          </w:p>
        </w:tc>
        <w:tc>
          <w:p>
            <w:pPr>
              <w:pStyle w:val="Compact"/>
              <w:jc w:val="center"/>
            </w:pPr>
            <w:r>
              <w:t xml:space="preserve">28</w:t>
            </w:r>
          </w:p>
        </w:tc>
        <w:tc>
          <w:p>
            <w:pPr>
              <w:pStyle w:val="Compact"/>
              <w:jc w:val="center"/>
            </w:pPr>
            <w:r>
              <w:t xml:space="preserve">4.4</w:t>
            </w:r>
          </w:p>
        </w:tc>
      </w:tr>
      <w:tr>
        <w:tc>
          <w:p>
            <w:pPr>
              <w:pStyle w:val="Compact"/>
              <w:jc w:val="center"/>
            </w:pPr>
            <w:r>
              <w:t xml:space="preserve">6</w:t>
            </w:r>
          </w:p>
        </w:tc>
        <w:tc>
          <w:p>
            <w:pPr>
              <w:pStyle w:val="Compact"/>
              <w:jc w:val="center"/>
            </w:pPr>
            <w:r>
              <w:t xml:space="preserve">Investigation by Company/Institution</w:t>
            </w:r>
          </w:p>
        </w:tc>
        <w:tc>
          <w:p>
            <w:pPr>
              <w:pStyle w:val="Compact"/>
              <w:jc w:val="center"/>
            </w:pPr>
            <w:r>
              <w:t xml:space="preserve">27</w:t>
            </w:r>
          </w:p>
        </w:tc>
        <w:tc>
          <w:p>
            <w:pPr>
              <w:pStyle w:val="Compact"/>
              <w:jc w:val="center"/>
            </w:pPr>
            <w:r>
              <w:t xml:space="preserve">4.3</w:t>
            </w:r>
          </w:p>
        </w:tc>
      </w:tr>
      <w:tr>
        <w:tc>
          <w:p>
            <w:pPr>
              <w:pStyle w:val="Compact"/>
              <w:jc w:val="center"/>
            </w:pPr>
            <w:r>
              <w:t xml:space="preserve">7</w:t>
            </w:r>
          </w:p>
        </w:tc>
        <w:tc>
          <w:p>
            <w:pPr>
              <w:pStyle w:val="Compact"/>
              <w:jc w:val="center"/>
            </w:pPr>
            <w:r>
              <w:t xml:space="preserve">Concerns/Issues About Data</w:t>
            </w:r>
          </w:p>
        </w:tc>
        <w:tc>
          <w:p>
            <w:pPr>
              <w:pStyle w:val="Compact"/>
              <w:jc w:val="center"/>
            </w:pPr>
            <w:r>
              <w:t xml:space="preserve">25</w:t>
            </w:r>
          </w:p>
        </w:tc>
        <w:tc>
          <w:p>
            <w:pPr>
              <w:pStyle w:val="Compact"/>
              <w:jc w:val="center"/>
            </w:pPr>
            <w:r>
              <w:t xml:space="preserve">4.0</w:t>
            </w:r>
          </w:p>
        </w:tc>
      </w:tr>
      <w:tr>
        <w:tc>
          <w:p>
            <w:pPr>
              <w:pStyle w:val="Compact"/>
              <w:jc w:val="center"/>
            </w:pPr>
            <w:r>
              <w:t xml:space="preserve">8</w:t>
            </w:r>
          </w:p>
        </w:tc>
        <w:tc>
          <w:p>
            <w:pPr>
              <w:pStyle w:val="Compact"/>
              <w:jc w:val="center"/>
            </w:pPr>
            <w:r>
              <w:t xml:space="preserve">Fake Peer Review</w:t>
            </w:r>
          </w:p>
        </w:tc>
        <w:tc>
          <w:p>
            <w:pPr>
              <w:pStyle w:val="Compact"/>
              <w:jc w:val="center"/>
            </w:pPr>
            <w:r>
              <w:t xml:space="preserve">24</w:t>
            </w:r>
          </w:p>
        </w:tc>
        <w:tc>
          <w:p>
            <w:pPr>
              <w:pStyle w:val="Compact"/>
              <w:jc w:val="center"/>
            </w:pPr>
            <w:r>
              <w:t xml:space="preserve">3.8</w:t>
            </w:r>
          </w:p>
        </w:tc>
      </w:tr>
      <w:tr>
        <w:tc>
          <w:p>
            <w:pPr>
              <w:pStyle w:val="Compact"/>
              <w:jc w:val="center"/>
            </w:pPr>
            <w:r>
              <w:t xml:space="preserve">9</w:t>
            </w:r>
          </w:p>
        </w:tc>
        <w:tc>
          <w:p>
            <w:pPr>
              <w:pStyle w:val="Compact"/>
              <w:jc w:val="center"/>
            </w:pPr>
            <w:r>
              <w:t xml:space="preserve">Unreliable Results</w:t>
            </w:r>
          </w:p>
        </w:tc>
        <w:tc>
          <w:p>
            <w:pPr>
              <w:pStyle w:val="Compact"/>
              <w:jc w:val="center"/>
            </w:pPr>
            <w:r>
              <w:t xml:space="preserve">22</w:t>
            </w:r>
          </w:p>
        </w:tc>
        <w:tc>
          <w:p>
            <w:pPr>
              <w:pStyle w:val="Compact"/>
              <w:jc w:val="center"/>
            </w:pPr>
            <w:r>
              <w:t xml:space="preserve">3.5</w:t>
            </w:r>
          </w:p>
        </w:tc>
      </w:tr>
      <w:tr>
        <w:tc>
          <w:p>
            <w:pPr>
              <w:pStyle w:val="Compact"/>
              <w:jc w:val="center"/>
            </w:pPr>
            <w:r>
              <w:t xml:space="preserve">10</w:t>
            </w:r>
          </w:p>
        </w:tc>
        <w:tc>
          <w:p>
            <w:pPr>
              <w:pStyle w:val="Compact"/>
              <w:jc w:val="center"/>
            </w:pPr>
            <w:r>
              <w:t xml:space="preserve">Error in Methods</w:t>
            </w:r>
          </w:p>
        </w:tc>
        <w:tc>
          <w:p>
            <w:pPr>
              <w:pStyle w:val="Compact"/>
              <w:jc w:val="center"/>
            </w:pPr>
            <w:r>
              <w:t xml:space="preserve">20</w:t>
            </w:r>
          </w:p>
        </w:tc>
        <w:tc>
          <w:p>
            <w:pPr>
              <w:pStyle w:val="Compact"/>
              <w:jc w:val="center"/>
            </w:pPr>
            <w:r>
              <w:t xml:space="preserve">3.2</w:t>
            </w:r>
          </w:p>
        </w:tc>
      </w:tr>
      <w:tr>
        <w:tc>
          <w:p>
            <w:pPr>
              <w:pStyle w:val="Compact"/>
              <w:jc w:val="center"/>
            </w:pPr>
            <w:r>
              <w:t xml:space="preserve">NA</w:t>
            </w:r>
          </w:p>
        </w:tc>
        <w:tc>
          <w:p>
            <w:pPr>
              <w:pStyle w:val="Compact"/>
              <w:jc w:val="center"/>
            </w:pPr>
            <w:r>
              <w:t xml:space="preserve">Total</w:t>
            </w:r>
          </w:p>
        </w:tc>
        <w:tc>
          <w:p>
            <w:pPr>
              <w:pStyle w:val="Compact"/>
              <w:jc w:val="center"/>
            </w:pPr>
            <w:r>
              <w:t xml:space="preserve">631</w:t>
            </w:r>
          </w:p>
        </w:tc>
        <w:tc>
          <w:p>
            <w:pPr>
              <w:pStyle w:val="Compact"/>
              <w:jc w:val="center"/>
            </w:pPr>
            <w:r>
              <w:t xml:space="preserve">100.0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Retraction Watch data for Australia</dc:title>
  <dc:creator>Adrian Barnett</dc:creator>
  <cp:keywords/>
  <dcterms:created xsi:type="dcterms:W3CDTF">2019-05-18T10:22:46Z</dcterms:created>
  <dcterms:modified xsi:type="dcterms:W3CDTF">2019-05-18T10:22:46Z</dcterms:modified>
</cp:coreProperties>
</file>

<file path=docProps/custom.xml><?xml version="1.0" encoding="utf-8"?>
<Properties xmlns="http://schemas.openxmlformats.org/officeDocument/2006/custom-properties" xmlns:vt="http://schemas.openxmlformats.org/officeDocument/2006/docPropsVTypes"/>
</file>