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4"/>
        <w:gridCol w:w="1134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mean_rate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 ratio, odd ratios, odds ration, odds 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principle component analysis, principle component analyses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fischer's exact, fischers exact, fischer exact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statically significant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prevalance, prevalances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reserach, reserachers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randomised controlled trail, randomised controlled trails, randomized controlled trail, randomized controlled trails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confident interval, confident intervals, confidence inteval, confidence intevals, confidance interval, confidance intervals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casual inference, casual inferences, casual effect, casual effects, casual association, casual associations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clinican, clinicans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pubic health, public heath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kaplan meir, kapan meier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guassian, gausian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ration, risk 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2024-07-10T13:14:06Z</dcterms:modified>
  <cp:category/>
</cp:coreProperties>
</file>