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Review of trivago presentation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1. Duplication of sentences is too much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2. 24 mins for 1</w:t>
      </w:r>
      <w:r w:rsidDel="00000000" w:rsidR="00000000" w:rsidRPr="00000000">
        <w:rPr>
          <w:rFonts w:ascii="Calibri" w:cs="Calibri" w:eastAsia="Calibri" w:hAnsi="Calibri"/>
          <w:sz w:val="60"/>
          <w:szCs w:val="6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guession is too much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Focus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Q1.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ONLY 2 sentence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Question 2: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1. SCQ framework discussed in 1 min   &gt;&gt;&gt;&gt;&gt; 2.45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2. Quick glanced of variable types and indicate hour of day is a circular variable and could be transformed with sine and consine to be included as predictors.    &gt;&gt;&gt;&gt;&gt; 4.10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sz w:val="31"/>
          <w:szCs w:val="31"/>
          <w:rtl w:val="0"/>
        </w:rPr>
        <w:t xml:space="preserve">Exploratory analysis – 10 min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Descriptive analysis — 1 min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80" w:before="180" w:lineRule="auto"/>
        <w:jc w:val="both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9tmmdruisb69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visualization to ascertain certain assumptions required by some models – 5 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Viz target and quantitative variables  – 1 min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0"/>
          <w:szCs w:val="20"/>
        </w:rPr>
      </w:pPr>
      <w:bookmarkStart w:colFirst="0" w:colLast="0" w:name="_parjak7w2eab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Visualizing the relationship between target variable and quantitative predictors  – 2 min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6n04mxox7idu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Visualization of categorical predictors  — 2 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35"/>
          <w:szCs w:val="35"/>
        </w:rPr>
      </w:pPr>
      <w:bookmarkStart w:colFirst="0" w:colLast="0" w:name="_85sqo0xmjdtf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Feature selection  – 10 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8zubslfxvcj4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Feature selection for categorical features with low cardinality – 2 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2mp53miyhqnf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Handling predictors with high cardinality  – 2 mim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rysucvu56sa3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Categorical Feature engineering  – 1 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5ocgxllaj3ky" w:id="7"/>
      <w:bookmarkEnd w:id="7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Numeric feature selection  – 1 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j8czctshow6a" w:id="8"/>
      <w:bookmarkEnd w:id="8"/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Visualizing outliers   Boxplot to visualize outliers  – 1 min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fxviwb9n6qsw" w:id="9"/>
      <w:bookmarkEnd w:id="9"/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Handling missing data  – 2 min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0"/>
          <w:szCs w:val="20"/>
        </w:rPr>
      </w:pPr>
      <w:bookmarkStart w:colFirst="0" w:colLast="0" w:name="_tij7mmkccvcf" w:id="10"/>
      <w:bookmarkEnd w:id="10"/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rtl w:val="0"/>
        </w:rPr>
        <w:t xml:space="preserve">Using insights gained from exploratory analysis to inform modelling approach  – 1 min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Modelling  — 10 min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Baseline model definition – 2 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Modelling and CV  – 1 min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evaluation – 1 min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Hyperparameter tuning   –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Bagging  – 2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a)Are all locales impacted by the loss of data equally?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Data quality checks remains an important part of analytics particularly to check data completeness and accuracy. Analyzing the distribution and presence / influence of missing data provides a clearer background and circumstances surrounding the data hence undertaken.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 gain a clear understanding of the question for the analysis, equal data loss is interpreted as the proportion of missing data among locales is  homogenous and equal.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Determining this requires a hypothesis test and chi square test of homogeneity is used.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Q2  Review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(i) Do not overstress the SCQA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(ii) Do not talk about log_scale for visualization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