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spacing w:after="400"/>
        <w:jc w:val="center"/>
      </w:pPr>
      <w:r>
        <w:rPr>
          <w:rFonts w:ascii="Arial" w:cs="Arial" w:eastAsia="Arial" w:hAnsi="Arial"/>
          <w:color w:val="2E5B8A"/>
          <w:sz w:val="32"/>
          <w:szCs w:val="32"/>
        </w:rPr>
        <w:t xml:space="preserve">VOLUME I</w:t>
      </w:r>
    </w:p>
    <w:p>
      <w:pPr>
        <w:spacing w:after="200"/>
        <w:jc w:val="center"/>
      </w:pPr>
      <w:r>
        <w:rPr>
          <w:rFonts w:ascii="Arial" w:cs="Arial" w:eastAsia="Arial" w:hAnsi="Arial"/>
          <w:b/>
          <w:bCs/>
          <w:color w:val="1E3A5F"/>
          <w:sz w:val="44"/>
          <w:szCs w:val="44"/>
        </w:rPr>
        <w:t xml:space="preserve">FONDATIONS DE L'ENTREPRISE AGENTIQUE</w:t>
      </w:r>
    </w:p>
    <w:p>
      <w:pPr>
        <w:spacing w:after="800"/>
        <w:jc w:val="center"/>
      </w:pPr>
      <w:r>
        <w:rPr>
          <w:rFonts w:ascii="Arial" w:cs="Arial" w:eastAsia="Arial" w:hAnsi="Arial"/>
          <w:i/>
          <w:iCs/>
          <w:color w:val="2E5B8A"/>
          <w:sz w:val="28"/>
          <w:szCs w:val="28"/>
        </w:rPr>
        <w:t xml:space="preserve">De l'Interopérabilité à l'Intelligence Distribuée</w:t>
      </w:r>
    </w:p>
    <w:p>
      <w:pPr>
        <w:jc w:val="center"/>
      </w:pPr>
      <w:r>
        <w:rPr>
          <w:color w:val="4A90D9"/>
          <w:sz w:val="28"/>
          <w:szCs w:val="28"/>
        </w:rPr>
        <w:t xml:space="preserve">───────────────────────────────</w:t>
      </w:r>
    </w:p>
    <w:p>
      <w:pPr>
        <w:spacing w:after="800"/>
      </w:pPr>
    </w:p>
    <w:p>
      <w:pPr>
        <w:spacing w:after="200"/>
        <w:jc w:val="center"/>
      </w:pPr>
      <w:r>
        <w:rPr>
          <w:rFonts w:ascii="Arial" w:cs="Arial" w:eastAsia="Arial" w:hAnsi="Arial"/>
          <w:b/>
          <w:bCs/>
          <w:color w:val="1E3A5F"/>
          <w:sz w:val="36"/>
          <w:szCs w:val="36"/>
        </w:rPr>
        <w:t xml:space="preserve">INTRODUCTION</w:t>
      </w:r>
    </w:p>
    <w:p>
      <w:pPr>
        <w:spacing w:after="600"/>
        <w:jc w:val="center"/>
      </w:pPr>
      <w:r>
        <w:rPr>
          <w:rFonts w:ascii="Arial" w:cs="Arial" w:eastAsia="Arial" w:hAnsi="Arial"/>
          <w:b/>
          <w:bCs/>
          <w:color w:val="2E5B8A"/>
          <w:sz w:val="48"/>
          <w:szCs w:val="48"/>
        </w:rPr>
        <w:t xml:space="preserve">MÉTAMORPHOSE</w:t>
      </w:r>
    </w:p>
    <w:p>
      <w:pPr>
        <w:spacing w:after="100"/>
        <w:jc w:val="center"/>
      </w:pPr>
      <w:r>
        <w:rPr>
          <w:rFonts w:ascii="Arial" w:cs="Arial" w:eastAsia="Arial" w:hAnsi="Arial"/>
          <w:i/>
          <w:iCs/>
          <w:sz w:val="26"/>
          <w:szCs w:val="26"/>
        </w:rPr>
        <w:t xml:space="preserve">De la Fragmentation à l'Intelligence Distribuée</w:t>
      </w:r>
    </w:p>
    <w:p>
      <w:pPr>
        <w:spacing w:after="3000"/>
      </w:pPr>
    </w:p>
    <w:p>
      <w:pPr>
        <w:spacing w:after="200"/>
        <w:jc w:val="center"/>
      </w:pPr>
      <w:r>
        <w:rPr>
          <w:rFonts w:ascii="Arial" w:cs="Arial" w:eastAsia="Arial" w:hAnsi="Arial"/>
          <w:sz w:val="28"/>
          <w:szCs w:val="28"/>
        </w:rPr>
        <w:t xml:space="preserve">André-Guy Bruneau</w:t>
      </w:r>
    </w:p>
    <w:p>
      <w:pPr>
        <w:jc w:val="center"/>
      </w:pPr>
      <w:r>
        <w:rPr>
          <w:rFonts w:ascii="Arial" w:cs="Arial" w:eastAsia="Arial" w:hAnsi="Arial"/>
          <w:color w:val="2E5B8A"/>
          <w:sz w:val="24"/>
          <w:szCs w:val="24"/>
        </w:rPr>
        <w:t xml:space="preserve">Janvier 2026</w:t>
      </w:r>
    </w:p>
    <w:p>
      <w:pPr>
        <w:sectPr>
          <w:pgSz w:w="12240" w:h="15840" w:orient="portrait"/>
          <w:pgMar w:top="1440" w:right="1440" w:bottom="1440" w:left="1440" w:header="708" w:footer="708" w:gutter="0"/>
          <w:pgNumType/>
          <w:docGrid w:linePitch="360"/>
        </w:sectPr>
      </w:pPr>
    </w:p>
    <w:p>
      <w:pPr>
        <w:pStyle w:val="Heading1"/>
      </w:pPr>
      <w:r>
        <w:t xml:space="preserve">INTRODUCTION — MÉTAMORPHOSE</w:t>
      </w:r>
    </w:p>
    <w:p>
      <w:pPr>
        <w:spacing w:after="400"/>
        <w:jc w:val="center"/>
      </w:pPr>
      <w:r>
        <w:rPr>
          <w:rFonts w:ascii="Arial" w:cs="Arial" w:eastAsia="Arial" w:hAnsi="Arial"/>
          <w:i/>
          <w:iCs/>
          <w:color w:val="2E5B8A"/>
          <w:sz w:val="24"/>
          <w:szCs w:val="24"/>
        </w:rPr>
        <w:t xml:space="preserve">De la Fragmentation à l'Intelligence Distribuée</w:t>
      </w:r>
    </w:p>
    <w:p>
      <w:pPr>
        <w:spacing w:after="200" w:line="276"/>
        <w:jc w:val="both"/>
      </w:pPr>
      <w:r>
        <w:rPr>
          <w:rFonts w:ascii="Arial" w:cs="Arial" w:eastAsia="Arial" w:hAnsi="Arial"/>
          <w:sz w:val="24"/>
          <w:szCs w:val="24"/>
        </w:rPr>
        <w:t xml:space="preserve">L'entreprise contemporaine traverse une crise existentielle silencieuse. Derrière les façades numériques polies et les tableaux de bord aux indicateurs verdoyants se cache une réalité que tout architecte d'entreprise connaît intimement : un enchevêtrement de systèmes hérités, de connexions point à point, de données dupliquées et de processus fragmentés qui paralysent progressivement la capacité d'adaptation des organisations.</w:t>
      </w:r>
    </w:p>
    <w:p>
      <w:pPr>
        <w:spacing w:after="200" w:line="276"/>
        <w:jc w:val="both"/>
      </w:pPr>
      <w:r>
        <w:rPr>
          <w:rFonts w:ascii="Arial" w:cs="Arial" w:eastAsia="Arial" w:hAnsi="Arial"/>
          <w:sz w:val="24"/>
          <w:szCs w:val="24"/>
        </w:rPr>
        <w:t xml:space="preserve">Cette introduction pose les jalons d'une transformation profonde. Elle trace le parcours intellectuel qui nous mènera de la crise actuelle de l'intégration vers l'émergence d'un nouveau paradigme : l'entreprise agentique. Ce voyage conceptuel n'est pas une simple évolution technologique; il constitue une véritable métamorphose dans la manière dont nous concevons, construisons et orchestrons les systèmes d'information.</w:t>
      </w:r>
    </w:p>
    <w:p>
      <w:pPr>
        <w:pStyle w:val="Heading2"/>
      </w:pPr>
      <w:r>
        <w:t xml:space="preserve">I.1 Le Point de Rupture : Épuisement du Modèle Traditionnel</w:t>
      </w:r>
    </w:p>
    <w:p>
      <w:pPr>
        <w:spacing w:after="200" w:line="276"/>
        <w:jc w:val="both"/>
      </w:pPr>
      <w:r>
        <w:rPr>
          <w:rFonts w:ascii="Arial" w:cs="Arial" w:eastAsia="Arial" w:hAnsi="Arial"/>
          <w:sz w:val="24"/>
          <w:szCs w:val="24"/>
        </w:rPr>
        <w:t xml:space="preserve">Les organisations numériques d'aujourd'hui ressemblent davantage à des cités médiévales qu'à des métropoles modernes. Construites par accumulation successive, elles portent les stigmates de décennies de décisions tactiques, de projets urgents et de solutions temporaires devenues permanentes. Le moment est venu de reconnaître que le modèle traditionnel d'intégration a atteint ses limites fondamentales.</w:t>
      </w:r>
    </w:p>
    <w:p>
      <w:pPr>
        <w:pStyle w:val="Heading3"/>
      </w:pPr>
      <w:r>
        <w:t xml:space="preserve">I.1.1 Au-delà de la Dette Technique : La Faillite Cognitive</w:t>
      </w:r>
    </w:p>
    <w:p>
      <w:pPr>
        <w:spacing w:after="200" w:line="276"/>
        <w:jc w:val="both"/>
      </w:pPr>
      <w:r>
        <w:rPr>
          <w:rFonts w:ascii="Arial" w:cs="Arial" w:eastAsia="Arial" w:hAnsi="Arial"/>
          <w:sz w:val="24"/>
          <w:szCs w:val="24"/>
        </w:rPr>
        <w:t xml:space="preserve">La notion de « dette technique » est désormais insuffisante pour décrire l'état réel des systèmes d'information des grandes organisations. Ce que nous observons aujourd'hui transcende les problèmes de code vieillissant ou d'infrastructure obsolète. Nous faisons face à une dette cognitive d'une ampleur sans précédent.</w:t>
      </w:r>
    </w:p>
    <w:p>
      <w:pPr>
        <w:spacing w:after="15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65100" w:sz="12"/>
              <w:bottom w:val="none" w:color="FFFFFF" w:sz="0"/>
              <w:right w:val="none" w:color="FFFFFF" w:sz="0"/>
            </w:tcBorders>
            <w:shd w:fill="FFF3E0" w:val="clear"/>
            <w:tcMar>
              <w:top w:type="dxa" w:w="150"/>
              <w:left w:type="dxa" w:w="200"/>
              <w:bottom w:type="dxa" w:w="150"/>
              <w:right w:type="dxa" w:w="200"/>
            </w:tcMar>
          </w:tcPr>
          <w:p>
            <w:pPr>
              <w:spacing w:after="100"/>
            </w:pPr>
            <w:r>
              <w:rPr>
                <w:rFonts w:ascii="Arial" w:cs="Arial" w:eastAsia="Arial" w:hAnsi="Arial"/>
                <w:b/>
                <w:bCs/>
                <w:color w:val="E65100"/>
                <w:sz w:val="22"/>
                <w:szCs w:val="22"/>
              </w:rPr>
              <w:t xml:space="preserve">Définition formelle</w:t>
            </w:r>
          </w:p>
          <w:p>
            <w:pPr>
              <w:spacing w:after="80"/>
            </w:pPr>
            <w:r>
              <w:rPr>
                <w:rFonts w:ascii="Arial" w:cs="Arial" w:eastAsia="Arial" w:hAnsi="Arial"/>
                <w:i/>
                <w:iCs/>
                <w:sz w:val="22"/>
                <w:szCs w:val="22"/>
              </w:rPr>
              <w:t xml:space="preserve">Dette cognitive : Accumulation du savoir implicite, non documenté et fragmenté au sein d'une organisation, rendant progressivement incompréhensible le fonctionnement réel des systèmes et de leurs interactions.</w:t>
            </w:r>
          </w:p>
        </w:tc>
      </w:tr>
    </w:tbl>
    <w:p>
      <w:pPr>
        <w:spacing w:after="200"/>
      </w:pPr>
    </w:p>
    <w:p>
      <w:pPr>
        <w:spacing w:after="200" w:line="276"/>
        <w:jc w:val="both"/>
      </w:pPr>
      <w:r>
        <w:rPr>
          <w:rFonts w:ascii="Arial" w:cs="Arial" w:eastAsia="Arial" w:hAnsi="Arial"/>
          <w:sz w:val="24"/>
          <w:szCs w:val="24"/>
        </w:rPr>
        <w:t xml:space="preserve">Cette dette cognitive se manifeste de multiples façons. Les architectes seniors qui comprenaient les interconnexions critiques partent à la retraite, emportant avec eux une connaissance irremplaçable. Les documentations, quand elles existent, reflètent des états passés plutôt que la réalité actuelle. Les flux de données traversent des dizaines de systèmes selon des logiques que plus personne ne maîtrise complètement.</w:t>
      </w:r>
    </w:p>
    <w:p>
      <w:pPr>
        <w:spacing w:after="200" w:line="276"/>
        <w:jc w:val="both"/>
      </w:pPr>
      <w:r>
        <w:rPr>
          <w:rFonts w:ascii="Arial" w:cs="Arial" w:eastAsia="Arial" w:hAnsi="Arial"/>
          <w:sz w:val="24"/>
          <w:szCs w:val="24"/>
        </w:rPr>
        <w:t xml:space="preserve">Le résultat est une organisation paralysée par sa propre complexité. Chaque modification, même mineure, devient une aventure périlleuse. Les équipes passent plus de temps à comprendre l'existant qu'à créer de la valeur nouvelle. L'innovation est étouffée non par manque d'idées, mais par l'impossibilité pratique de les implémenter dans un environnement devenu opaque.</w:t>
      </w:r>
    </w:p>
    <w:p>
      <w:pPr>
        <w:spacing w:after="15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D32" w:sz="12"/>
              <w:bottom w:val="none" w:color="FFFFFF" w:sz="0"/>
              <w:right w:val="none" w:color="FFFFFF" w:sz="0"/>
            </w:tcBorders>
            <w:shd w:fill="E8F5E9" w:val="clear"/>
            <w:tcMar>
              <w:top w:type="dxa" w:w="150"/>
              <w:left w:type="dxa" w:w="200"/>
              <w:bottom w:type="dxa" w:w="150"/>
              <w:right w:type="dxa" w:w="200"/>
            </w:tcMar>
          </w:tcPr>
          <w:p>
            <w:pPr>
              <w:spacing w:after="100"/>
            </w:pPr>
            <w:r>
              <w:rPr>
                <w:rFonts w:ascii="Arial" w:cs="Arial" w:eastAsia="Arial" w:hAnsi="Arial"/>
                <w:b/>
                <w:bCs/>
                <w:color w:val="2E7D32"/>
                <w:sz w:val="22"/>
                <w:szCs w:val="22"/>
              </w:rPr>
              <w:t xml:space="preserve">Perspective stratégique</w:t>
            </w:r>
          </w:p>
          <w:p>
            <w:pPr>
              <w:spacing w:after="80"/>
            </w:pPr>
            <w:r>
              <w:rPr>
                <w:rFonts w:ascii="Arial" w:cs="Arial" w:eastAsia="Arial" w:hAnsi="Arial"/>
                <w:i/>
                <w:iCs/>
                <w:sz w:val="22"/>
                <w:szCs w:val="22"/>
              </w:rPr>
              <w:t xml:space="preserve">La dette cognitive représente un risque stratégique majeur souvent invisible dans les bilans traditionnels. Elle érode silencieusement la capacité concurrentielle et peut transformer une organisation leader en dinosaure numérique en l'espace de quelques années.</w:t>
            </w:r>
          </w:p>
        </w:tc>
      </w:tr>
    </w:tbl>
    <w:p>
      <w:pPr>
        <w:spacing w:after="200"/>
      </w:pPr>
    </w:p>
    <w:p>
      <w:pPr>
        <w:pStyle w:val="Heading3"/>
      </w:pPr>
      <w:r>
        <w:t xml:space="preserve">I.1.2 L'Archéologie de l'Intégration : Un Cycle de Déceptions</w:t>
      </w:r>
    </w:p>
    <w:p>
      <w:pPr>
        <w:spacing w:after="200" w:line="276"/>
        <w:jc w:val="both"/>
      </w:pPr>
      <w:r>
        <w:rPr>
          <w:rFonts w:ascii="Arial" w:cs="Arial" w:eastAsia="Arial" w:hAnsi="Arial"/>
          <w:sz w:val="24"/>
          <w:szCs w:val="24"/>
        </w:rPr>
        <w:t xml:space="preserve">Pour comprendre la crise actuelle, un regard rétrospectif s'impose. L'histoire de l'intégration des systèmes d'information est jalonnée de promesses non tenues et de solutions qui sont devenues elles-mêmes des problèmes.</w:t>
      </w:r>
    </w:p>
    <w:p>
      <w:pPr>
        <w:spacing w:after="200" w:line="276"/>
        <w:jc w:val="both"/>
      </w:pPr>
      <w:r>
        <w:rPr>
          <w:rFonts w:ascii="Arial" w:cs="Arial" w:eastAsia="Arial" w:hAnsi="Arial"/>
          <w:sz w:val="24"/>
          <w:szCs w:val="24"/>
        </w:rPr>
        <w:t xml:space="preserve">Les années 1990 ont vu émerger les premières tentatives de rationalisation avec l'Enterprise Application Integration (EAI). Ces plateformes centralisées promettaient de mettre fin au « plat de spaghettis » des connexions point à point. Elles ont plutôt créé des goulots d'étranglement monumentaux et des dépendances critiques envers des éditeurs propriétaires.</w:t>
      </w:r>
    </w:p>
    <w:p>
      <w:pPr>
        <w:spacing w:after="200" w:line="276"/>
        <w:jc w:val="both"/>
      </w:pPr>
      <w:r>
        <w:rPr>
          <w:rFonts w:ascii="Arial" w:cs="Arial" w:eastAsia="Arial" w:hAnsi="Arial"/>
          <w:sz w:val="24"/>
          <w:szCs w:val="24"/>
        </w:rPr>
        <w:t xml:space="preserve">L'Architecture Orientée Services (SOA) des années 2000, portée par l'Enterprise Service Bus (ESB), a représenté un progrès conceptuel indéniable. La modularisation en services réutilisables offrait une vision élégante. Mais l'implémentation s'est heurtée à la complexité des standards WS-* et à la lourdeur des orchestrations centralisées. L'ESB, censé fluidifier les échanges, est devenu le point de congestion ultime.</w:t>
      </w:r>
    </w:p>
    <w:p>
      <w:pPr>
        <w:spacing w:after="200" w:line="276"/>
        <w:jc w:val="both"/>
      </w:pPr>
      <w:r>
        <w:rPr>
          <w:rFonts w:ascii="Arial" w:cs="Arial" w:eastAsia="Arial" w:hAnsi="Arial"/>
          <w:sz w:val="24"/>
          <w:szCs w:val="24"/>
        </w:rPr>
        <w:t xml:space="preserve">Les microservices, réponse à la rigidité du SOA, ont apporté l'agilité tant recherchée au niveau des équipes individuelles. Ils ont simultanément engendré une explosion combinatoire des interactions et une fragmentation de la cohérence globale. La gouvernance distribuée s'est révélée un défi sous-estimé.</w:t>
      </w:r>
    </w:p>
    <w:p>
      <w:pPr>
        <w:spacing w:after="15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B1FA2" w:sz="12"/>
              <w:bottom w:val="none" w:color="FFFFFF" w:sz="0"/>
              <w:right w:val="none" w:color="FFFFFF" w:sz="0"/>
            </w:tcBorders>
            <w:shd w:fill="F3E5F5" w:val="clear"/>
            <w:tcMar>
              <w:top w:type="dxa" w:w="150"/>
              <w:left w:type="dxa" w:w="200"/>
              <w:bottom w:type="dxa" w:w="150"/>
              <w:right w:type="dxa" w:w="200"/>
            </w:tcMar>
          </w:tcPr>
          <w:p>
            <w:pPr>
              <w:spacing w:after="100"/>
            </w:pPr>
            <w:r>
              <w:rPr>
                <w:rFonts w:ascii="Arial" w:cs="Arial" w:eastAsia="Arial" w:hAnsi="Arial"/>
                <w:b/>
                <w:bCs/>
                <w:color w:val="7B1FA2"/>
                <w:sz w:val="22"/>
                <w:szCs w:val="22"/>
              </w:rPr>
              <w:t xml:space="preserve">Exemple concret</w:t>
            </w:r>
          </w:p>
          <w:p>
            <w:pPr>
              <w:spacing w:after="80"/>
            </w:pPr>
            <w:r>
              <w:rPr>
                <w:rFonts w:ascii="Arial" w:cs="Arial" w:eastAsia="Arial" w:hAnsi="Arial"/>
                <w:i/>
                <w:iCs/>
                <w:sz w:val="22"/>
                <w:szCs w:val="22"/>
              </w:rPr>
              <w:t xml:space="preserve">Une grande banque canadienne a documenté plus de 2 400 microservices en production, interconnectés par plus de 18 000 appels API distincts. Malgré des investissements massifs en observabilité, l'équipe d'architecture estime ne comprendre que 60 % des flux réels de données à travers ce maillage.</w:t>
            </w:r>
          </w:p>
        </w:tc>
      </w:tr>
    </w:tbl>
    <w:p>
      <w:pPr>
        <w:spacing w:after="200"/>
      </w:pPr>
    </w:p>
    <w:p>
      <w:pPr>
        <w:spacing w:after="200" w:line="276"/>
        <w:jc w:val="both"/>
      </w:pPr>
      <w:r>
        <w:rPr>
          <w:rFonts w:ascii="Arial" w:cs="Arial" w:eastAsia="Arial" w:hAnsi="Arial"/>
          <w:sz w:val="24"/>
          <w:szCs w:val="24"/>
        </w:rPr>
        <w:t xml:space="preserve">Ce cycle de promesses et de déceptions révèle une constante : chaque paradigme a tenté de résoudre les symptômes du précédent sans s'attaquer aux causes profondes. La complexité n'a pas été réduite; elle a simplement été déplacée et, souvent, amplifiée.</w:t>
      </w:r>
    </w:p>
    <w:p>
      <w:pPr>
        <w:pStyle w:val="Heading3"/>
      </w:pPr>
      <w:r>
        <w:t xml:space="preserve">I.1.3 La Fragmentation Contemporaine</w:t>
      </w:r>
    </w:p>
    <w:p>
      <w:pPr>
        <w:spacing w:after="200" w:line="276"/>
        <w:jc w:val="both"/>
      </w:pPr>
      <w:r>
        <w:rPr>
          <w:rFonts w:ascii="Arial" w:cs="Arial" w:eastAsia="Arial" w:hAnsi="Arial"/>
          <w:sz w:val="24"/>
          <w:szCs w:val="24"/>
        </w:rPr>
        <w:t xml:space="preserve">Le paysage actuel des systèmes d'information présente une fragmentation multidimensionnelle qui défie les approches traditionnelles d'intégration.</w:t>
      </w:r>
    </w:p>
    <w:p>
      <w:pPr>
        <w:spacing w:after="200" w:line="276"/>
        <w:jc w:val="both"/>
      </w:pPr>
      <w:r>
        <w:rPr>
          <w:rFonts w:ascii="Arial" w:cs="Arial" w:eastAsia="Arial" w:hAnsi="Arial"/>
          <w:sz w:val="24"/>
          <w:szCs w:val="24"/>
        </w:rPr>
        <w:t xml:space="preserve">La </w:t>
      </w:r>
      <w:r>
        <w:rPr>
          <w:rFonts w:ascii="Arial" w:cs="Arial" w:eastAsia="Arial" w:hAnsi="Arial"/>
          <w:b/>
          <w:bCs/>
          <w:sz w:val="24"/>
          <w:szCs w:val="24"/>
        </w:rPr>
        <w:t xml:space="preserve">fragmentation technologique</w:t>
      </w:r>
      <w:r>
        <w:rPr>
          <w:rFonts w:ascii="Arial" w:cs="Arial" w:eastAsia="Arial" w:hAnsi="Arial"/>
          <w:sz w:val="24"/>
          <w:szCs w:val="24"/>
        </w:rPr>
        <w:t xml:space="preserve"> oppose les systèmes patrimoniaux (mainframes, progiciels monolithiques) aux architectures infonuagiques natives. Ces deux mondes coexistent avec des paradigmes fondamentalement incompatibles : traitement par lots contre flux continus, transactions ACID contre cohérence éventuelle, modèles de données rigides contre schémas évolutifs.</w:t>
      </w:r>
    </w:p>
    <w:p>
      <w:pPr>
        <w:spacing w:after="200" w:line="276"/>
        <w:jc w:val="both"/>
      </w:pPr>
      <w:r>
        <w:rPr>
          <w:rFonts w:ascii="Arial" w:cs="Arial" w:eastAsia="Arial" w:hAnsi="Arial"/>
          <w:sz w:val="24"/>
          <w:szCs w:val="24"/>
        </w:rPr>
        <w:t xml:space="preserve">La </w:t>
      </w:r>
      <w:r>
        <w:rPr>
          <w:rFonts w:ascii="Arial" w:cs="Arial" w:eastAsia="Arial" w:hAnsi="Arial"/>
          <w:b/>
          <w:bCs/>
          <w:sz w:val="24"/>
          <w:szCs w:val="24"/>
        </w:rPr>
        <w:t xml:space="preserve">fragmentation organisationnelle</w:t>
      </w:r>
      <w:r>
        <w:rPr>
          <w:rFonts w:ascii="Arial" w:cs="Arial" w:eastAsia="Arial" w:hAnsi="Arial"/>
          <w:sz w:val="24"/>
          <w:szCs w:val="24"/>
        </w:rPr>
        <w:t xml:space="preserve"> voit les silos départementaux reproduits dans les architectures techniques. Chaque division a développé ses propres solutions, ses propres référentiels de données, ses propres définitions des concepts métier. Le client vu par le marketing n'est pas celui du service à la clientèle, qui diffère de celui de la comptabilité.</w:t>
      </w:r>
    </w:p>
    <w:p>
      <w:pPr>
        <w:spacing w:after="200" w:line="276"/>
        <w:jc w:val="both"/>
      </w:pPr>
      <w:r>
        <w:rPr>
          <w:rFonts w:ascii="Arial" w:cs="Arial" w:eastAsia="Arial" w:hAnsi="Arial"/>
          <w:sz w:val="24"/>
          <w:szCs w:val="24"/>
        </w:rPr>
        <w:t xml:space="preserve">La </w:t>
      </w:r>
      <w:r>
        <w:rPr>
          <w:rFonts w:ascii="Arial" w:cs="Arial" w:eastAsia="Arial" w:hAnsi="Arial"/>
          <w:b/>
          <w:bCs/>
          <w:sz w:val="24"/>
          <w:szCs w:val="24"/>
        </w:rPr>
        <w:t xml:space="preserve">fragmentation temporelle</w:t>
      </w:r>
      <w:r>
        <w:rPr>
          <w:rFonts w:ascii="Arial" w:cs="Arial" w:eastAsia="Arial" w:hAnsi="Arial"/>
          <w:sz w:val="24"/>
          <w:szCs w:val="24"/>
        </w:rPr>
        <w:t xml:space="preserve"> confronte les exigences du temps réel aux héritages du traitement différé. Les attentes des utilisateurs et des partenaires d'affaires ont basculé vers l'instantanéité, tandis que les systèmes centraux continuent d'opérer en cycles nocturnes.</w:t>
      </w:r>
    </w:p>
    <w:p>
      <w:pPr>
        <w:spacing w:after="200" w:line="276"/>
        <w:jc w:val="both"/>
      </w:pPr>
      <w:r>
        <w:rPr>
          <w:rFonts w:ascii="Arial" w:cs="Arial" w:eastAsia="Arial" w:hAnsi="Arial"/>
          <w:sz w:val="24"/>
          <w:szCs w:val="24"/>
        </w:rPr>
        <w:t xml:space="preserve">La </w:t>
      </w:r>
      <w:r>
        <w:rPr>
          <w:rFonts w:ascii="Arial" w:cs="Arial" w:eastAsia="Arial" w:hAnsi="Arial"/>
          <w:b/>
          <w:bCs/>
          <w:sz w:val="24"/>
          <w:szCs w:val="24"/>
        </w:rPr>
        <w:t xml:space="preserve">fragmentation géographique</w:t>
      </w:r>
      <w:r>
        <w:rPr>
          <w:rFonts w:ascii="Arial" w:cs="Arial" w:eastAsia="Arial" w:hAnsi="Arial"/>
          <w:sz w:val="24"/>
          <w:szCs w:val="24"/>
        </w:rPr>
        <w:t xml:space="preserve">, amplifiée par l'infonuagique multi-régions et les exigences réglementaires de souveraineté des données, ajoute une couche de complexité dans la distribution et la synchronisation de l'information.</w:t>
      </w:r>
    </w:p>
    <w:p>
      <w:pPr>
        <w:spacing w:after="200" w:line="276"/>
        <w:jc w:val="both"/>
      </w:pPr>
      <w:r>
        <w:rPr>
          <w:rFonts w:ascii="Arial" w:cs="Arial" w:eastAsia="Arial" w:hAnsi="Arial"/>
          <w:sz w:val="24"/>
          <w:szCs w:val="24"/>
        </w:rPr>
        <w:t xml:space="preserve">Cette fragmentation n'est pas un accident. Elle est le résultat logique de décennies de croissance organique, de fusions-acquisitions, d'externalisations et de transformations numériques partielles. La reconnaître comme état de fait constitue le premier pas vers sa résolution.</w:t>
      </w:r>
    </w:p>
    <w:p>
      <w:r>
        <w:br w:type="page"/>
      </w:r>
    </w:p>
    <w:p>
      <w:pPr>
        <w:pStyle w:val="Heading2"/>
      </w:pPr>
      <w:r>
        <w:t xml:space="preserve">I.2 La Solution Systémique : Une Architecture Réactive et Cognitive</w:t>
      </w:r>
    </w:p>
    <w:p>
      <w:pPr>
        <w:spacing w:after="200" w:line="276"/>
        <w:jc w:val="both"/>
      </w:pPr>
      <w:r>
        <w:rPr>
          <w:rFonts w:ascii="Arial" w:cs="Arial" w:eastAsia="Arial" w:hAnsi="Arial"/>
          <w:sz w:val="24"/>
          <w:szCs w:val="24"/>
        </w:rPr>
        <w:t xml:space="preserve">Face à cette complexité structurelle, les réponses ponctuelles sont vouées à l'échec. Seule une approche systémique, repensant les fondements mêmes de l'architecture d'entreprise, peut offrir une voie de sortie. Cette section introduit les concepts clés qui seront développés en profondeur dans les chapitres suivants.</w:t>
      </w:r>
    </w:p>
    <w:p>
      <w:pPr>
        <w:pStyle w:val="Heading3"/>
      </w:pPr>
      <w:r>
        <w:t xml:space="preserve">I.2.1 De l'Intégration à l'Interopérabilité : Un Saut Conceptuel</w:t>
      </w:r>
    </w:p>
    <w:p>
      <w:pPr>
        <w:spacing w:after="200" w:line="276"/>
        <w:jc w:val="both"/>
      </w:pPr>
      <w:r>
        <w:rPr>
          <w:rFonts w:ascii="Arial" w:cs="Arial" w:eastAsia="Arial" w:hAnsi="Arial"/>
          <w:sz w:val="24"/>
          <w:szCs w:val="24"/>
        </w:rPr>
        <w:t xml:space="preserve">Le changement de paradigme proposé commence par une distinction fondamentale, trop souvent négligée : celle entre intégration et interopérabilité.</w:t>
      </w:r>
    </w:p>
    <w:p>
      <w:pPr>
        <w:spacing w:after="200" w:line="276"/>
        <w:jc w:val="both"/>
      </w:pPr>
      <w:r>
        <w:rPr>
          <w:rFonts w:ascii="Arial" w:cs="Arial" w:eastAsia="Arial" w:hAnsi="Arial"/>
          <w:sz w:val="24"/>
          <w:szCs w:val="24"/>
        </w:rPr>
        <w:t xml:space="preserve">L'</w:t>
      </w:r>
      <w:r>
        <w:rPr>
          <w:rFonts w:ascii="Arial" w:cs="Arial" w:eastAsia="Arial" w:hAnsi="Arial"/>
          <w:b/>
          <w:bCs/>
          <w:sz w:val="24"/>
          <w:szCs w:val="24"/>
        </w:rPr>
        <w:t xml:space="preserve">intégration</w:t>
      </w:r>
      <w:r>
        <w:rPr>
          <w:rFonts w:ascii="Arial" w:cs="Arial" w:eastAsia="Arial" w:hAnsi="Arial"/>
          <w:sz w:val="24"/>
          <w:szCs w:val="24"/>
        </w:rPr>
        <w:t xml:space="preserve"> procède d'une logique de connexion directe. Elle crée des liens rigides entre systèmes, impose des dépendances fortes et nécessite une coordination étroite entre les parties. Chaque nouvelle connexion augmente la complexité globale de manière non linéaire.</w:t>
      </w:r>
    </w:p>
    <w:p>
      <w:pPr>
        <w:spacing w:after="200" w:line="276"/>
        <w:jc w:val="both"/>
      </w:pPr>
      <w:r>
        <w:rPr>
          <w:rFonts w:ascii="Arial" w:cs="Arial" w:eastAsia="Arial" w:hAnsi="Arial"/>
          <w:sz w:val="24"/>
          <w:szCs w:val="24"/>
        </w:rPr>
        <w:t xml:space="preserve">L'</w:t>
      </w:r>
      <w:r>
        <w:rPr>
          <w:rFonts w:ascii="Arial" w:cs="Arial" w:eastAsia="Arial" w:hAnsi="Arial"/>
          <w:b/>
          <w:bCs/>
          <w:sz w:val="24"/>
          <w:szCs w:val="24"/>
        </w:rPr>
        <w:t xml:space="preserve">interopérabilité</w:t>
      </w:r>
      <w:r>
        <w:rPr>
          <w:rFonts w:ascii="Arial" w:cs="Arial" w:eastAsia="Arial" w:hAnsi="Arial"/>
          <w:sz w:val="24"/>
          <w:szCs w:val="24"/>
        </w:rPr>
        <w:t xml:space="preserve"> adopte une approche radicalement différente. Elle vise la capacité intrinsèque des systèmes à collaborer sans connexion préalable, grâce à des contrats partagés, des protocoles standardisés et une compréhension commune du sens des données échangées.</w:t>
      </w:r>
    </w:p>
    <w:p>
      <w:pPr>
        <w:spacing w:after="15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65100" w:sz="12"/>
              <w:bottom w:val="none" w:color="FFFFFF" w:sz="0"/>
              <w:right w:val="none" w:color="FFFFFF" w:sz="0"/>
            </w:tcBorders>
            <w:shd w:fill="FFF3E0" w:val="clear"/>
            <w:tcMar>
              <w:top w:type="dxa" w:w="150"/>
              <w:left w:type="dxa" w:w="200"/>
              <w:bottom w:type="dxa" w:w="150"/>
              <w:right w:type="dxa" w:w="200"/>
            </w:tcMar>
          </w:tcPr>
          <w:p>
            <w:pPr>
              <w:spacing w:after="100"/>
            </w:pPr>
            <w:r>
              <w:rPr>
                <w:rFonts w:ascii="Arial" w:cs="Arial" w:eastAsia="Arial" w:hAnsi="Arial"/>
                <w:b/>
                <w:bCs/>
                <w:color w:val="E65100"/>
                <w:sz w:val="22"/>
                <w:szCs w:val="22"/>
              </w:rPr>
              <w:t xml:space="preserve">Définition formelle</w:t>
            </w:r>
          </w:p>
          <w:p>
            <w:pPr>
              <w:spacing w:after="80"/>
            </w:pPr>
            <w:r>
              <w:rPr>
                <w:rFonts w:ascii="Arial" w:cs="Arial" w:eastAsia="Arial" w:hAnsi="Arial"/>
                <w:i/>
                <w:iCs/>
                <w:sz w:val="22"/>
                <w:szCs w:val="22"/>
              </w:rPr>
              <w:t xml:space="preserve">Interopérabilité : Capacité de systèmes autonomes à échanger de l'information et à utiliser mutuellement cette information de manière significative, sans intervention manuelle et avec une compréhension partagée du contexte et de l'intention.</w:t>
            </w:r>
          </w:p>
        </w:tc>
      </w:tr>
    </w:tbl>
    <w:p>
      <w:pPr>
        <w:spacing w:after="200"/>
      </w:pPr>
    </w:p>
    <w:p>
      <w:pPr>
        <w:spacing w:after="200" w:line="276"/>
        <w:jc w:val="both"/>
      </w:pPr>
      <w:r>
        <w:rPr>
          <w:rFonts w:ascii="Arial" w:cs="Arial" w:eastAsia="Arial" w:hAnsi="Arial"/>
          <w:sz w:val="24"/>
          <w:szCs w:val="24"/>
        </w:rPr>
        <w:t xml:space="preserve">Ce saut conceptuel implique un renversement de perspective. Au lieu de construire des ponts entre îlots, on conçoit un océan commun sur lequel tous peuvent naviguer. Les systèmes ne sont plus définis par leurs connexions, mais par leur capacité à participer à un écosystème ouvert. Cette vision trouve son expression architecturale dans le concept de </w:t>
      </w:r>
      <w:r>
        <w:rPr>
          <w:rFonts w:ascii="Arial" w:cs="Arial" w:eastAsia="Arial" w:hAnsi="Arial"/>
          <w:b/>
          <w:bCs/>
          <w:sz w:val="24"/>
          <w:szCs w:val="24"/>
        </w:rPr>
        <w:t xml:space="preserve">système nerveux numérique</w:t>
      </w:r>
      <w:r>
        <w:rPr>
          <w:rFonts w:ascii="Arial" w:cs="Arial" w:eastAsia="Arial" w:hAnsi="Arial"/>
          <w:sz w:val="24"/>
          <w:szCs w:val="24"/>
        </w:rPr>
        <w:t xml:space="preserve"> : une infrastructure de communication unifiée qui transporte l'information comme les impulsions nerveuses traversent le corps humain, permettant la coordination sans centralisation rigide.</w:t>
      </w:r>
    </w:p>
    <w:p>
      <w:pPr>
        <w:pStyle w:val="Heading3"/>
      </w:pPr>
      <w:r>
        <w:t xml:space="preserve">I.2.2 Les Piliers du Système Nerveux Numérique</w:t>
      </w:r>
    </w:p>
    <w:p>
      <w:pPr>
        <w:spacing w:after="200" w:line="276"/>
        <w:jc w:val="both"/>
      </w:pPr>
      <w:r>
        <w:rPr>
          <w:rFonts w:ascii="Arial" w:cs="Arial" w:eastAsia="Arial" w:hAnsi="Arial"/>
          <w:sz w:val="24"/>
          <w:szCs w:val="24"/>
        </w:rPr>
        <w:t xml:space="preserve">Le système nerveux numérique repose sur quatre piliers architecturaux interdépendants qui seront détaillés dans la Partie 2 de ce volume.</w:t>
      </w:r>
    </w:p>
    <w:p>
      <w:pPr>
        <w:spacing w:after="200" w:line="276"/>
        <w:jc w:val="both"/>
      </w:pPr>
      <w:r>
        <w:rPr>
          <w:rFonts w:ascii="Arial" w:cs="Arial" w:eastAsia="Arial" w:hAnsi="Arial"/>
          <w:sz w:val="24"/>
          <w:szCs w:val="24"/>
        </w:rPr>
        <w:t xml:space="preserve">Le premier pilier est l'</w:t>
      </w:r>
      <w:r>
        <w:rPr>
          <w:rFonts w:ascii="Arial" w:cs="Arial" w:eastAsia="Arial" w:hAnsi="Arial"/>
          <w:b/>
          <w:bCs/>
          <w:sz w:val="24"/>
          <w:szCs w:val="24"/>
        </w:rPr>
        <w:t xml:space="preserve">écosystème API</w:t>
      </w:r>
      <w:r>
        <w:rPr>
          <w:rFonts w:ascii="Arial" w:cs="Arial" w:eastAsia="Arial" w:hAnsi="Arial"/>
          <w:sz w:val="24"/>
          <w:szCs w:val="24"/>
        </w:rPr>
        <w:t xml:space="preserve">, qui gouverne les interactions synchrones entre systèmes. Les API ne sont plus de simples interfaces techniques; elles deviennent des produits à part entière, conçus avec la même rigueur que les offres commerciales. Le paradigme « API-as-a-Product » transforme la manière dont les capacités sont exposées et consommées au sein de l'organisation et au-delà de ses frontières.</w:t>
      </w:r>
    </w:p>
    <w:p>
      <w:pPr>
        <w:spacing w:after="200" w:line="276"/>
        <w:jc w:val="both"/>
      </w:pPr>
      <w:r>
        <w:rPr>
          <w:rFonts w:ascii="Arial" w:cs="Arial" w:eastAsia="Arial" w:hAnsi="Arial"/>
          <w:sz w:val="24"/>
          <w:szCs w:val="24"/>
        </w:rPr>
        <w:t xml:space="preserve">Le deuxième pilier est l'</w:t>
      </w:r>
      <w:r>
        <w:rPr>
          <w:rFonts w:ascii="Arial" w:cs="Arial" w:eastAsia="Arial" w:hAnsi="Arial"/>
          <w:b/>
          <w:bCs/>
          <w:sz w:val="24"/>
          <w:szCs w:val="24"/>
        </w:rPr>
        <w:t xml:space="preserve">architecture orientée événements</w:t>
      </w:r>
      <w:r>
        <w:rPr>
          <w:rFonts w:ascii="Arial" w:cs="Arial" w:eastAsia="Arial" w:hAnsi="Arial"/>
          <w:sz w:val="24"/>
          <w:szCs w:val="24"/>
        </w:rPr>
        <w:t xml:space="preserve"> (Event-Driven Architecture ou EDA). Contrairement aux appels synchrones qui créent des couplages temporels forts, les événements permettent une communication asynchrone où producteurs et consommateurs évoluent indépendamment. Le </w:t>
      </w:r>
      <w:r>
        <w:rPr>
          <w:rFonts w:ascii="Arial" w:cs="Arial" w:eastAsia="Arial" w:hAnsi="Arial"/>
          <w:b/>
          <w:bCs/>
          <w:sz w:val="24"/>
          <w:szCs w:val="24"/>
        </w:rPr>
        <w:t xml:space="preserve">backbone événementiel</w:t>
      </w:r>
      <w:r>
        <w:rPr>
          <w:rFonts w:ascii="Arial" w:cs="Arial" w:eastAsia="Arial" w:hAnsi="Arial"/>
          <w:sz w:val="24"/>
          <w:szCs w:val="24"/>
        </w:rPr>
        <w:t xml:space="preserve">, typiquement implémenté avec Apache Kafka ou la Confluent Platform, devient le système circulatoire de l'entreprise, transportant les faits métier en temps réel.</w:t>
      </w:r>
    </w:p>
    <w:p>
      <w:pPr>
        <w:spacing w:after="200" w:line="276"/>
        <w:jc w:val="both"/>
      </w:pPr>
      <w:r>
        <w:rPr>
          <w:rFonts w:ascii="Arial" w:cs="Arial" w:eastAsia="Arial" w:hAnsi="Arial"/>
          <w:sz w:val="24"/>
          <w:szCs w:val="24"/>
        </w:rPr>
        <w:t xml:space="preserve">Le troisième pilier concerne les </w:t>
      </w:r>
      <w:r>
        <w:rPr>
          <w:rFonts w:ascii="Arial" w:cs="Arial" w:eastAsia="Arial" w:hAnsi="Arial"/>
          <w:b/>
          <w:bCs/>
          <w:sz w:val="24"/>
          <w:szCs w:val="24"/>
        </w:rPr>
        <w:t xml:space="preserve">contrats de données</w:t>
      </w:r>
      <w:r>
        <w:rPr>
          <w:rFonts w:ascii="Arial" w:cs="Arial" w:eastAsia="Arial" w:hAnsi="Arial"/>
          <w:sz w:val="24"/>
          <w:szCs w:val="24"/>
        </w:rPr>
        <w:t xml:space="preserve">. Dans un environnement distribué, la confiance ne peut reposer sur des conventions implicites. Les contrats de données formalisent les engagements entre producteurs et consommateurs : structure des messages, garanties de qualité, règles d'évolution. Le Schema Registry assure la gouvernance de ces contrats à l'échelle de l'entreprise.</w:t>
      </w:r>
    </w:p>
    <w:p>
      <w:pPr>
        <w:spacing w:after="200" w:line="276"/>
        <w:jc w:val="both"/>
      </w:pPr>
      <w:r>
        <w:rPr>
          <w:rFonts w:ascii="Arial" w:cs="Arial" w:eastAsia="Arial" w:hAnsi="Arial"/>
          <w:sz w:val="24"/>
          <w:szCs w:val="24"/>
        </w:rPr>
        <w:t xml:space="preserve">Le quatrième pilier est l'</w:t>
      </w:r>
      <w:r>
        <w:rPr>
          <w:rFonts w:ascii="Arial" w:cs="Arial" w:eastAsia="Arial" w:hAnsi="Arial"/>
          <w:b/>
          <w:bCs/>
          <w:sz w:val="24"/>
          <w:szCs w:val="24"/>
        </w:rPr>
        <w:t xml:space="preserve">observabilité unifiée</w:t>
      </w:r>
      <w:r>
        <w:rPr>
          <w:rFonts w:ascii="Arial" w:cs="Arial" w:eastAsia="Arial" w:hAnsi="Arial"/>
          <w:sz w:val="24"/>
          <w:szCs w:val="24"/>
        </w:rPr>
        <w:t xml:space="preserve">. La complexité des systèmes distribués rend impossible la supervision traditionnelle. L'observabilité moderne combine traces distribuées, métriques et journaux dans une vision cohérente permettant de comprendre le comportement réel des systèmes en production.</w:t>
      </w:r>
    </w:p>
    <w:p>
      <w:pPr>
        <w:spacing w:after="15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D32" w:sz="12"/>
              <w:bottom w:val="none" w:color="FFFFFF" w:sz="0"/>
              <w:right w:val="none" w:color="FFFFFF" w:sz="0"/>
            </w:tcBorders>
            <w:shd w:fill="E8F5E9" w:val="clear"/>
            <w:tcMar>
              <w:top w:type="dxa" w:w="150"/>
              <w:left w:type="dxa" w:w="200"/>
              <w:bottom w:type="dxa" w:w="150"/>
              <w:right w:type="dxa" w:w="200"/>
            </w:tcMar>
          </w:tcPr>
          <w:p>
            <w:pPr>
              <w:spacing w:after="100"/>
            </w:pPr>
            <w:r>
              <w:rPr>
                <w:rFonts w:ascii="Arial" w:cs="Arial" w:eastAsia="Arial" w:hAnsi="Arial"/>
                <w:b/>
                <w:bCs/>
                <w:color w:val="2E7D32"/>
                <w:sz w:val="22"/>
                <w:szCs w:val="22"/>
              </w:rPr>
              <w:t xml:space="preserve">Perspective stratégique</w:t>
            </w:r>
          </w:p>
          <w:p>
            <w:pPr>
              <w:spacing w:after="80"/>
            </w:pPr>
            <w:r>
              <w:rPr>
                <w:rFonts w:ascii="Arial" w:cs="Arial" w:eastAsia="Arial" w:hAnsi="Arial"/>
                <w:i/>
                <w:iCs/>
                <w:sz w:val="22"/>
                <w:szCs w:val="22"/>
              </w:rPr>
              <w:t xml:space="preserve">Ces quatre piliers ne sont pas des options technologiques parmi d'autres. Ils constituent les prérequis architecturaux sans lesquels la transformation agentique ne peut s'envisager. Les organisations qui négligent ces fondations se condamnent à des implémentations d'IA superficielles et fragiles.</w:t>
            </w:r>
          </w:p>
        </w:tc>
      </w:tr>
    </w:tbl>
    <w:p>
      <w:pPr>
        <w:spacing w:after="200"/>
      </w:pPr>
    </w:p>
    <w:p>
      <w:r>
        <w:br w:type="page"/>
      </w:r>
    </w:p>
    <w:p>
      <w:pPr>
        <w:pStyle w:val="Heading2"/>
      </w:pPr>
      <w:r>
        <w:t xml:space="preserve">I.3 Nouveau Paradigme : Entreprise Agentique</w:t>
      </w:r>
    </w:p>
    <w:p>
      <w:pPr>
        <w:spacing w:after="200" w:line="276"/>
        <w:jc w:val="both"/>
      </w:pPr>
      <w:r>
        <w:rPr>
          <w:rFonts w:ascii="Arial" w:cs="Arial" w:eastAsia="Arial" w:hAnsi="Arial"/>
          <w:sz w:val="24"/>
          <w:szCs w:val="24"/>
        </w:rPr>
        <w:t xml:space="preserve">L'architecture réactive crée les conditions d'émergence d'un nouveau paradigme : l'entreprise agentique. Cette vision dépasse la simple automatisation pour introduire une nouvelle forme d'intelligence distribuée au cœur des opérations.</w:t>
      </w:r>
    </w:p>
    <w:p>
      <w:pPr>
        <w:pStyle w:val="Heading3"/>
      </w:pPr>
      <w:r>
        <w:t xml:space="preserve">I.3.1 Du Sens à l'Intention : Le Pivot Cognitif</w:t>
      </w:r>
    </w:p>
    <w:p>
      <w:pPr>
        <w:spacing w:after="200" w:line="276"/>
        <w:jc w:val="both"/>
      </w:pPr>
      <w:r>
        <w:rPr>
          <w:rFonts w:ascii="Arial" w:cs="Arial" w:eastAsia="Arial" w:hAnsi="Arial"/>
          <w:sz w:val="24"/>
          <w:szCs w:val="24"/>
        </w:rPr>
        <w:t xml:space="preserve">L'interopérabilité traditionnelle s'est longtemps concentrée sur la dimension sémantique : s'assurer que les systèmes partagent une compréhension commune du sens des données. Les ontologies, les modèles canoniques et les référentiels de données maîtres (MDM) ont tenté, avec un succès mitigé, de créer ce vocabulaire partagé.</w:t>
      </w:r>
    </w:p>
    <w:p>
      <w:pPr>
        <w:spacing w:after="200" w:line="276"/>
        <w:jc w:val="both"/>
      </w:pPr>
      <w:r>
        <w:rPr>
          <w:rFonts w:ascii="Arial" w:cs="Arial" w:eastAsia="Arial" w:hAnsi="Arial"/>
          <w:sz w:val="24"/>
          <w:szCs w:val="24"/>
        </w:rPr>
        <w:t xml:space="preserve">L'entreprise agentique franchit une étape supplémentaire avec l'</w:t>
      </w:r>
      <w:r>
        <w:rPr>
          <w:rFonts w:ascii="Arial" w:cs="Arial" w:eastAsia="Arial" w:hAnsi="Arial"/>
          <w:b/>
          <w:bCs/>
          <w:sz w:val="24"/>
          <w:szCs w:val="24"/>
        </w:rPr>
        <w:t xml:space="preserve">Interopérabilité Cognitivo-Adaptative (ICA)</w:t>
      </w:r>
      <w:r>
        <w:rPr>
          <w:rFonts w:ascii="Arial" w:cs="Arial" w:eastAsia="Arial" w:hAnsi="Arial"/>
          <w:sz w:val="24"/>
          <w:szCs w:val="24"/>
        </w:rPr>
        <w:t xml:space="preserve">. Au-delà du sens, elle intègre la notion d'</w:t>
      </w:r>
      <w:r>
        <w:rPr>
          <w:rFonts w:ascii="Arial" w:cs="Arial" w:eastAsia="Arial" w:hAnsi="Arial"/>
          <w:b/>
          <w:bCs/>
          <w:sz w:val="24"/>
          <w:szCs w:val="24"/>
        </w:rPr>
        <w:t xml:space="preserve">intention</w:t>
      </w:r>
      <w:r>
        <w:rPr>
          <w:rFonts w:ascii="Arial" w:cs="Arial" w:eastAsia="Arial" w:hAnsi="Arial"/>
          <w:sz w:val="24"/>
          <w:szCs w:val="24"/>
        </w:rPr>
        <w:t xml:space="preserve"> : comprendre non seulement ce que signifie une donnée, mais pourquoi elle est produite et ce qu'on attend comme réponse.</w:t>
      </w:r>
    </w:p>
    <w:p>
      <w:pPr>
        <w:spacing w:after="15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65100" w:sz="12"/>
              <w:bottom w:val="none" w:color="FFFFFF" w:sz="0"/>
              <w:right w:val="none" w:color="FFFFFF" w:sz="0"/>
            </w:tcBorders>
            <w:shd w:fill="FFF3E0" w:val="clear"/>
            <w:tcMar>
              <w:top w:type="dxa" w:w="150"/>
              <w:left w:type="dxa" w:w="200"/>
              <w:bottom w:type="dxa" w:w="150"/>
              <w:right w:type="dxa" w:w="200"/>
            </w:tcMar>
          </w:tcPr>
          <w:p>
            <w:pPr>
              <w:spacing w:after="100"/>
            </w:pPr>
            <w:r>
              <w:rPr>
                <w:rFonts w:ascii="Arial" w:cs="Arial" w:eastAsia="Arial" w:hAnsi="Arial"/>
                <w:b/>
                <w:bCs/>
                <w:color w:val="E65100"/>
                <w:sz w:val="22"/>
                <w:szCs w:val="22"/>
              </w:rPr>
              <w:t xml:space="preserve">Définition formelle</w:t>
            </w:r>
          </w:p>
          <w:p>
            <w:pPr>
              <w:spacing w:after="80"/>
            </w:pPr>
            <w:r>
              <w:rPr>
                <w:rFonts w:ascii="Arial" w:cs="Arial" w:eastAsia="Arial" w:hAnsi="Arial"/>
                <w:i/>
                <w:iCs/>
                <w:sz w:val="22"/>
                <w:szCs w:val="22"/>
              </w:rPr>
              <w:t xml:space="preserve">Interopérabilité Cognitivo-Adaptative (ICA) : Capacité des systèmes à échanger de l'information en comprenant dynamiquement le contexte, l'intention sous-jacente et les objectifs métier, et à adapter leur comportement en conséquence sans programmation explicite préalable.</w:t>
            </w:r>
          </w:p>
        </w:tc>
      </w:tr>
    </w:tbl>
    <w:p>
      <w:pPr>
        <w:spacing w:after="200"/>
      </w:pPr>
    </w:p>
    <w:p>
      <w:pPr>
        <w:spacing w:after="200" w:line="276"/>
        <w:jc w:val="both"/>
      </w:pPr>
      <w:r>
        <w:rPr>
          <w:rFonts w:ascii="Arial" w:cs="Arial" w:eastAsia="Arial" w:hAnsi="Arial"/>
          <w:sz w:val="24"/>
          <w:szCs w:val="24"/>
        </w:rPr>
        <w:t xml:space="preserve">Ce pivot cognitif est rendu possible par les avancées récentes en intelligence artificielle, particulièrement les grands modèles de langage (Large Language Models ou LLM). Ces modèles démontrent une capacité sans précédent à comprendre le contexte, à inférer les intentions et à générer des réponses appropriées.</w:t>
      </w:r>
    </w:p>
    <w:p>
      <w:pPr>
        <w:spacing w:after="200" w:line="276"/>
        <w:jc w:val="both"/>
      </w:pPr>
      <w:r>
        <w:rPr>
          <w:rFonts w:ascii="Arial" w:cs="Arial" w:eastAsia="Arial" w:hAnsi="Arial"/>
          <w:sz w:val="24"/>
          <w:szCs w:val="24"/>
        </w:rPr>
        <w:t xml:space="preserve">L'ICA ne remplace pas les dimensions précédentes de l'interopérabilité; elle les couronne. La solidité technique, la rigueur sémantique et l'alignement organisationnel demeurent essentiels. L'intelligence adaptative vient enrichir cet édifice d'une couche de compréhension et de flexibilité impossible à atteindre par les approches purement programmatiques.</w:t>
      </w:r>
    </w:p>
    <w:p>
      <w:pPr>
        <w:pStyle w:val="Heading3"/>
      </w:pPr>
      <w:r>
        <w:t xml:space="preserve">I.3.2 Anatomie de l'Entreprise Agentique</w:t>
      </w:r>
    </w:p>
    <w:p>
      <w:pPr>
        <w:spacing w:after="200" w:line="276"/>
        <w:jc w:val="both"/>
      </w:pPr>
      <w:r>
        <w:rPr>
          <w:rFonts w:ascii="Arial" w:cs="Arial" w:eastAsia="Arial" w:hAnsi="Arial"/>
          <w:sz w:val="24"/>
          <w:szCs w:val="24"/>
        </w:rPr>
        <w:t xml:space="preserve">L'entreprise agentique se caractérise par l'introduction d'</w:t>
      </w:r>
      <w:r>
        <w:rPr>
          <w:rFonts w:ascii="Arial" w:cs="Arial" w:eastAsia="Arial" w:hAnsi="Arial"/>
          <w:b/>
          <w:bCs/>
          <w:sz w:val="24"/>
          <w:szCs w:val="24"/>
        </w:rPr>
        <w:t xml:space="preserve">agents cognitifs</w:t>
      </w:r>
      <w:r>
        <w:rPr>
          <w:rFonts w:ascii="Arial" w:cs="Arial" w:eastAsia="Arial" w:hAnsi="Arial"/>
          <w:sz w:val="24"/>
          <w:szCs w:val="24"/>
        </w:rPr>
        <w:t xml:space="preserve"> comme composants fondamentaux de son architecture. Ces agents ne sont pas de simples automatisations programmées; ils constituent une nouvelle catégorie d'acteurs au sein du système d'information.</w:t>
      </w:r>
    </w:p>
    <w:p>
      <w:pPr>
        <w:spacing w:after="15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65100" w:sz="12"/>
              <w:bottom w:val="none" w:color="FFFFFF" w:sz="0"/>
              <w:right w:val="none" w:color="FFFFFF" w:sz="0"/>
            </w:tcBorders>
            <w:shd w:fill="FFF3E0" w:val="clear"/>
            <w:tcMar>
              <w:top w:type="dxa" w:w="150"/>
              <w:left w:type="dxa" w:w="200"/>
              <w:bottom w:type="dxa" w:w="150"/>
              <w:right w:type="dxa" w:w="200"/>
            </w:tcMar>
          </w:tcPr>
          <w:p>
            <w:pPr>
              <w:spacing w:after="100"/>
            </w:pPr>
            <w:r>
              <w:rPr>
                <w:rFonts w:ascii="Arial" w:cs="Arial" w:eastAsia="Arial" w:hAnsi="Arial"/>
                <w:b/>
                <w:bCs/>
                <w:color w:val="E65100"/>
                <w:sz w:val="22"/>
                <w:szCs w:val="22"/>
              </w:rPr>
              <w:t xml:space="preserve">Définition formelle</w:t>
            </w:r>
          </w:p>
          <w:p>
            <w:pPr>
              <w:spacing w:after="80"/>
            </w:pPr>
            <w:r>
              <w:rPr>
                <w:rFonts w:ascii="Arial" w:cs="Arial" w:eastAsia="Arial" w:hAnsi="Arial"/>
                <w:i/>
                <w:iCs/>
                <w:sz w:val="22"/>
                <w:szCs w:val="22"/>
              </w:rPr>
              <w:t xml:space="preserve">Agent cognitif : Entité logicielle autonome dotée de capacités de perception, de raisonnement et d'action, capable de poursuivre des objectifs définis tout en s'adaptant dynamiquement à son environnement et en collaborant avec d'autres agents et avec des humains.</w:t>
            </w:r>
          </w:p>
        </w:tc>
      </w:tr>
    </w:tbl>
    <w:p>
      <w:pPr>
        <w:spacing w:after="200"/>
      </w:pPr>
    </w:p>
    <w:p>
      <w:pPr>
        <w:spacing w:after="200" w:line="276"/>
        <w:jc w:val="both"/>
      </w:pPr>
      <w:r>
        <w:rPr>
          <w:rFonts w:ascii="Arial" w:cs="Arial" w:eastAsia="Arial" w:hAnsi="Arial"/>
          <w:sz w:val="24"/>
          <w:szCs w:val="24"/>
        </w:rPr>
        <w:t xml:space="preserve">Un agent cognitif possède plusieurs caractéristiques distinctives. Il maintient un </w:t>
      </w:r>
      <w:r>
        <w:rPr>
          <w:rFonts w:ascii="Arial" w:cs="Arial" w:eastAsia="Arial" w:hAnsi="Arial"/>
          <w:b/>
          <w:bCs/>
          <w:sz w:val="24"/>
          <w:szCs w:val="24"/>
        </w:rPr>
        <w:t xml:space="preserve">état interne</w:t>
      </w:r>
      <w:r>
        <w:rPr>
          <w:rFonts w:ascii="Arial" w:cs="Arial" w:eastAsia="Arial" w:hAnsi="Arial"/>
          <w:sz w:val="24"/>
          <w:szCs w:val="24"/>
        </w:rPr>
        <w:t xml:space="preserve"> qui évolue en fonction de ses perceptions et de ses actions. Il dispose d'une </w:t>
      </w:r>
      <w:r>
        <w:rPr>
          <w:rFonts w:ascii="Arial" w:cs="Arial" w:eastAsia="Arial" w:hAnsi="Arial"/>
          <w:b/>
          <w:bCs/>
          <w:sz w:val="24"/>
          <w:szCs w:val="24"/>
        </w:rPr>
        <w:t xml:space="preserve">mémoire</w:t>
      </w:r>
      <w:r>
        <w:rPr>
          <w:rFonts w:ascii="Arial" w:cs="Arial" w:eastAsia="Arial" w:hAnsi="Arial"/>
          <w:sz w:val="24"/>
          <w:szCs w:val="24"/>
        </w:rPr>
        <w:t xml:space="preserve"> lui permettant d'apprendre de ses expériences. Il peut </w:t>
      </w:r>
      <w:r>
        <w:rPr>
          <w:rFonts w:ascii="Arial" w:cs="Arial" w:eastAsia="Arial" w:hAnsi="Arial"/>
          <w:b/>
          <w:bCs/>
          <w:sz w:val="24"/>
          <w:szCs w:val="24"/>
        </w:rPr>
        <w:t xml:space="preserve">raisonner</w:t>
      </w:r>
      <w:r>
        <w:rPr>
          <w:rFonts w:ascii="Arial" w:cs="Arial" w:eastAsia="Arial" w:hAnsi="Arial"/>
          <w:sz w:val="24"/>
          <w:szCs w:val="24"/>
        </w:rPr>
        <w:t xml:space="preserve"> sur des situations nouvelles en s'appuyant sur ses connaissances et sur des modèles de langage. Il </w:t>
      </w:r>
      <w:r>
        <w:rPr>
          <w:rFonts w:ascii="Arial" w:cs="Arial" w:eastAsia="Arial" w:hAnsi="Arial"/>
          <w:b/>
          <w:bCs/>
          <w:sz w:val="24"/>
          <w:szCs w:val="24"/>
        </w:rPr>
        <w:t xml:space="preserve">agit</w:t>
      </w:r>
      <w:r>
        <w:rPr>
          <w:rFonts w:ascii="Arial" w:cs="Arial" w:eastAsia="Arial" w:hAnsi="Arial"/>
          <w:sz w:val="24"/>
          <w:szCs w:val="24"/>
        </w:rPr>
        <w:t xml:space="preserve"> dans son environnement en invoquant des outils, des API ou d'autres agents.</w:t>
      </w:r>
    </w:p>
    <w:p>
      <w:pPr>
        <w:spacing w:after="200" w:line="276"/>
        <w:jc w:val="both"/>
      </w:pPr>
      <w:r>
        <w:rPr>
          <w:rFonts w:ascii="Arial" w:cs="Arial" w:eastAsia="Arial" w:hAnsi="Arial"/>
          <w:sz w:val="24"/>
          <w:szCs w:val="24"/>
        </w:rPr>
        <w:t xml:space="preserve">Le </w:t>
      </w:r>
      <w:r>
        <w:rPr>
          <w:rFonts w:ascii="Arial" w:cs="Arial" w:eastAsia="Arial" w:hAnsi="Arial"/>
          <w:b/>
          <w:bCs/>
          <w:sz w:val="24"/>
          <w:szCs w:val="24"/>
        </w:rPr>
        <w:t xml:space="preserve">maillage agentique</w:t>
      </w:r>
      <w:r>
        <w:rPr>
          <w:rFonts w:ascii="Arial" w:cs="Arial" w:eastAsia="Arial" w:hAnsi="Arial"/>
          <w:sz w:val="24"/>
          <w:szCs w:val="24"/>
        </w:rPr>
        <w:t xml:space="preserve"> (Agentic Mesh) désigne l'architecture permettant à ces agents de collaborer efficacement. Contrairement aux architectures de microservices classiques où les interactions sont préétablies, le maillage agentique permet des collaborations dynamiques. Les agents se découvrent, négocient leurs interactions et coordonnent leurs actions pour atteindre des objectifs complexes.</w:t>
      </w:r>
    </w:p>
    <w:p>
      <w:pPr>
        <w:spacing w:after="200" w:line="276"/>
        <w:jc w:val="both"/>
      </w:pPr>
      <w:r>
        <w:rPr>
          <w:rFonts w:ascii="Arial" w:cs="Arial" w:eastAsia="Arial" w:hAnsi="Arial"/>
          <w:sz w:val="24"/>
          <w:szCs w:val="24"/>
        </w:rPr>
        <w:t xml:space="preserve">Le backbone événementiel joue un rôle crucial dans cette architecture. Il devient le </w:t>
      </w:r>
      <w:r>
        <w:rPr>
          <w:rFonts w:ascii="Arial" w:cs="Arial" w:eastAsia="Arial" w:hAnsi="Arial"/>
          <w:b/>
          <w:bCs/>
          <w:sz w:val="24"/>
          <w:szCs w:val="24"/>
        </w:rPr>
        <w:t xml:space="preserve">tableau noir numérique</w:t>
      </w:r>
      <w:r>
        <w:rPr>
          <w:rFonts w:ascii="Arial" w:cs="Arial" w:eastAsia="Arial" w:hAnsi="Arial"/>
          <w:sz w:val="24"/>
          <w:szCs w:val="24"/>
        </w:rPr>
        <w:t xml:space="preserve"> (digital blackboard) sur lequel les agents publient leurs observations et leurs actions, permettant une coordination émergente sans orchestration centrale rigide.</w:t>
      </w:r>
    </w:p>
    <w:p>
      <w:pPr>
        <w:spacing w:after="15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B1FA2" w:sz="12"/>
              <w:bottom w:val="none" w:color="FFFFFF" w:sz="0"/>
              <w:right w:val="none" w:color="FFFFFF" w:sz="0"/>
            </w:tcBorders>
            <w:shd w:fill="F3E5F5" w:val="clear"/>
            <w:tcMar>
              <w:top w:type="dxa" w:w="150"/>
              <w:left w:type="dxa" w:w="200"/>
              <w:bottom w:type="dxa" w:w="150"/>
              <w:right w:type="dxa" w:w="200"/>
            </w:tcMar>
          </w:tcPr>
          <w:p>
            <w:pPr>
              <w:spacing w:after="100"/>
            </w:pPr>
            <w:r>
              <w:rPr>
                <w:rFonts w:ascii="Arial" w:cs="Arial" w:eastAsia="Arial" w:hAnsi="Arial"/>
                <w:b/>
                <w:bCs/>
                <w:color w:val="7B1FA2"/>
                <w:sz w:val="22"/>
                <w:szCs w:val="22"/>
              </w:rPr>
              <w:t xml:space="preserve">Exemple concret</w:t>
            </w:r>
          </w:p>
          <w:p>
            <w:pPr>
              <w:spacing w:after="80"/>
            </w:pPr>
            <w:r>
              <w:rPr>
                <w:rFonts w:ascii="Arial" w:cs="Arial" w:eastAsia="Arial" w:hAnsi="Arial"/>
                <w:i/>
                <w:iCs/>
                <w:sz w:val="22"/>
                <w:szCs w:val="22"/>
              </w:rPr>
              <w:t xml:space="preserve">Dans une entreprise de logistique agentique, un agent de détection surveille les flux de transport en temps réel. Lorsqu'il détecte un retard significatif, il publie un événement sur le backbone. Plusieurs agents spécialisés réagissent : un agent de replanification propose des itinéraires alternatifs, un agent de communication prépare des notifications pour les clients concernés, un agent financier évalue les impacts sur les engagements contractuels. Ces agents collaborent via le maillage pour produire une réponse coordonnée, le tout en quelques secondes et sans intervention humaine pour les cas standards.</w:t>
            </w:r>
          </w:p>
        </w:tc>
      </w:tr>
    </w:tbl>
    <w:p>
      <w:pPr>
        <w:spacing w:after="200"/>
      </w:pPr>
    </w:p>
    <w:p>
      <w:pPr>
        <w:pStyle w:val="Heading3"/>
      </w:pPr>
      <w:r>
        <w:t xml:space="preserve">I.3.3 La Symbiose Homme-Agent</w:t>
      </w:r>
    </w:p>
    <w:p>
      <w:pPr>
        <w:spacing w:after="200" w:line="276"/>
        <w:jc w:val="both"/>
      </w:pPr>
      <w:r>
        <w:rPr>
          <w:rFonts w:ascii="Arial" w:cs="Arial" w:eastAsia="Arial" w:hAnsi="Arial"/>
          <w:sz w:val="24"/>
          <w:szCs w:val="24"/>
        </w:rPr>
        <w:t xml:space="preserve">L'entreprise agentique ne vise pas le remplacement des humains par des machines. Elle aspire à une </w:t>
      </w:r>
      <w:r>
        <w:rPr>
          <w:rFonts w:ascii="Arial" w:cs="Arial" w:eastAsia="Arial" w:hAnsi="Arial"/>
          <w:b/>
          <w:bCs/>
          <w:sz w:val="24"/>
          <w:szCs w:val="24"/>
        </w:rPr>
        <w:t xml:space="preserve">symbiose</w:t>
      </w:r>
      <w:r>
        <w:rPr>
          <w:rFonts w:ascii="Arial" w:cs="Arial" w:eastAsia="Arial" w:hAnsi="Arial"/>
          <w:sz w:val="24"/>
          <w:szCs w:val="24"/>
        </w:rPr>
        <w:t xml:space="preserve"> où les capacités respectives se complètent et s'amplifient mutuellement.</w:t>
      </w:r>
    </w:p>
    <w:p>
      <w:pPr>
        <w:spacing w:after="200" w:line="276"/>
        <w:jc w:val="both"/>
      </w:pPr>
      <w:r>
        <w:rPr>
          <w:rFonts w:ascii="Arial" w:cs="Arial" w:eastAsia="Arial" w:hAnsi="Arial"/>
          <w:sz w:val="24"/>
          <w:szCs w:val="24"/>
        </w:rPr>
        <w:t xml:space="preserve">Cette symbiose s'articule selon un spectre de modalités. À une extrémité, le modèle </w:t>
      </w:r>
      <w:r>
        <w:rPr>
          <w:rFonts w:ascii="Arial" w:cs="Arial" w:eastAsia="Arial" w:hAnsi="Arial"/>
          <w:b/>
          <w:bCs/>
          <w:sz w:val="24"/>
          <w:szCs w:val="24"/>
        </w:rPr>
        <w:t xml:space="preserve">Human-in-the-Loop</w:t>
      </w:r>
      <w:r>
        <w:rPr>
          <w:rFonts w:ascii="Arial" w:cs="Arial" w:eastAsia="Arial" w:hAnsi="Arial"/>
          <w:sz w:val="24"/>
          <w:szCs w:val="24"/>
        </w:rPr>
        <w:t xml:space="preserve"> maintient l'humain au centre de chaque décision significative, les agents agissant comme assistants et préparateurs. À l'autre extrémité, le modèle </w:t>
      </w:r>
      <w:r>
        <w:rPr>
          <w:rFonts w:ascii="Arial" w:cs="Arial" w:eastAsia="Arial" w:hAnsi="Arial"/>
          <w:b/>
          <w:bCs/>
          <w:sz w:val="24"/>
          <w:szCs w:val="24"/>
        </w:rPr>
        <w:t xml:space="preserve">Human-on-the-Loop</w:t>
      </w:r>
      <w:r>
        <w:rPr>
          <w:rFonts w:ascii="Arial" w:cs="Arial" w:eastAsia="Arial" w:hAnsi="Arial"/>
          <w:sz w:val="24"/>
          <w:szCs w:val="24"/>
        </w:rPr>
        <w:t xml:space="preserve"> confie l'exécution aux agents, l'humain intervenant en supervision et en exception.</w:t>
      </w:r>
    </w:p>
    <w:p>
      <w:pPr>
        <w:spacing w:after="200" w:line="276"/>
        <w:jc w:val="both"/>
      </w:pPr>
      <w:r>
        <w:rPr>
          <w:rFonts w:ascii="Arial" w:cs="Arial" w:eastAsia="Arial" w:hAnsi="Arial"/>
          <w:sz w:val="24"/>
          <w:szCs w:val="24"/>
        </w:rPr>
        <w:t xml:space="preserve">Entre ces pôles, de multiples configurations hybrides permettent d'adapter le niveau d'autonomie au contexte, à la criticité des décisions et à la maturité des systèmes. Cette modularité constitue une caractéristique essentielle de l'approche agentique.</w:t>
      </w:r>
    </w:p>
    <w:p>
      <w:pPr>
        <w:spacing w:after="200" w:line="276"/>
        <w:jc w:val="both"/>
      </w:pPr>
      <w:r>
        <w:rPr>
          <w:rFonts w:ascii="Arial" w:cs="Arial" w:eastAsia="Arial" w:hAnsi="Arial"/>
          <w:sz w:val="24"/>
          <w:szCs w:val="24"/>
        </w:rPr>
        <w:t xml:space="preserve">Le rôle de </w:t>
      </w:r>
      <w:r>
        <w:rPr>
          <w:rFonts w:ascii="Arial" w:cs="Arial" w:eastAsia="Arial" w:hAnsi="Arial"/>
          <w:b/>
          <w:bCs/>
          <w:sz w:val="24"/>
          <w:szCs w:val="24"/>
        </w:rPr>
        <w:t xml:space="preserve">berger d'intention</w:t>
      </w:r>
      <w:r>
        <w:rPr>
          <w:rFonts w:ascii="Arial" w:cs="Arial" w:eastAsia="Arial" w:hAnsi="Arial"/>
          <w:sz w:val="24"/>
          <w:szCs w:val="24"/>
        </w:rPr>
        <w:t xml:space="preserve"> émerge comme fonction clé dans cette symbiose. Ce professionnel ne programme pas les agents au sens traditionnel; il définit leurs objectifs, leurs contraintes éthiques et leurs limites d'autonomie. Il surveille leurs comportements émergents et intervient pour corriger les dérives ou affiner les orientations.</w:t>
      </w:r>
    </w:p>
    <w:p>
      <w:pPr>
        <w:spacing w:after="15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D32" w:sz="12"/>
              <w:bottom w:val="none" w:color="FFFFFF" w:sz="0"/>
              <w:right w:val="none" w:color="FFFFFF" w:sz="0"/>
            </w:tcBorders>
            <w:shd w:fill="E8F5E9" w:val="clear"/>
            <w:tcMar>
              <w:top w:type="dxa" w:w="150"/>
              <w:left w:type="dxa" w:w="200"/>
              <w:bottom w:type="dxa" w:w="150"/>
              <w:right w:type="dxa" w:w="200"/>
            </w:tcMar>
          </w:tcPr>
          <w:p>
            <w:pPr>
              <w:spacing w:after="100"/>
            </w:pPr>
            <w:r>
              <w:rPr>
                <w:rFonts w:ascii="Arial" w:cs="Arial" w:eastAsia="Arial" w:hAnsi="Arial"/>
                <w:b/>
                <w:bCs/>
                <w:color w:val="2E7D32"/>
                <w:sz w:val="22"/>
                <w:szCs w:val="22"/>
              </w:rPr>
              <w:t xml:space="preserve">Perspective stratégique</w:t>
            </w:r>
          </w:p>
          <w:p>
            <w:pPr>
              <w:spacing w:after="80"/>
            </w:pPr>
            <w:r>
              <w:rPr>
                <w:rFonts w:ascii="Arial" w:cs="Arial" w:eastAsia="Arial" w:hAnsi="Arial"/>
                <w:i/>
                <w:iCs/>
                <w:sz w:val="22"/>
                <w:szCs w:val="22"/>
              </w:rPr>
              <w:t xml:space="preserve">La réussite de l'entreprise agentique dépend moins de la sophistication technologique que de la qualité de la symbiose homme-agent. Les organisations qui traiteront les agents comme de simples outils échoueront à capturer leur potentiel. Celles qui sauront les intégrer comme partenaires cognitifs créeront un avantage concurrentiel durable.</w:t>
            </w:r>
          </w:p>
        </w:tc>
      </w:tr>
    </w:tbl>
    <w:p>
      <w:pPr>
        <w:spacing w:after="200"/>
      </w:pPr>
    </w:p>
    <w:p>
      <w:r>
        <w:br w:type="page"/>
      </w:r>
    </w:p>
    <w:p>
      <w:pPr>
        <w:pStyle w:val="Heading2"/>
      </w:pPr>
      <w:r>
        <w:t xml:space="preserve">I.4 La Voie de la Transformation</w:t>
      </w:r>
    </w:p>
    <w:p>
      <w:pPr>
        <w:spacing w:after="200" w:line="276"/>
        <w:jc w:val="both"/>
      </w:pPr>
      <w:r>
        <w:rPr>
          <w:rFonts w:ascii="Arial" w:cs="Arial" w:eastAsia="Arial" w:hAnsi="Arial"/>
          <w:sz w:val="24"/>
          <w:szCs w:val="24"/>
        </w:rPr>
        <w:t xml:space="preserve">Reconnaître le potentiel de l'entreprise agentique ne suffit pas. Encore faut-il tracer une voie praticable depuis l'état actuel, avec ses systèmes patrimoniaux et ses contraintes opérationnelles, vers cet horizon transformé.</w:t>
      </w:r>
    </w:p>
    <w:p>
      <w:pPr>
        <w:pStyle w:val="Heading3"/>
      </w:pPr>
      <w:r>
        <w:t xml:space="preserve">I.4.1 L'APM Cognitif : La Nouvelle Boussole de la Transformation</w:t>
      </w:r>
    </w:p>
    <w:p>
      <w:pPr>
        <w:spacing w:after="200" w:line="276"/>
        <w:jc w:val="both"/>
      </w:pPr>
      <w:r>
        <w:rPr>
          <w:rFonts w:ascii="Arial" w:cs="Arial" w:eastAsia="Arial" w:hAnsi="Arial"/>
          <w:sz w:val="24"/>
          <w:szCs w:val="24"/>
        </w:rPr>
        <w:t xml:space="preserve">La Gestion du Portefeuille Applicatif (Application Portfolio Management ou APM) constitue traditionnellement l'outil de pilotage des transformations du système d'information. Dans le contexte agentique, cette discipline connaît une évolution significative vers l'</w:t>
      </w:r>
      <w:r>
        <w:rPr>
          <w:rFonts w:ascii="Arial" w:cs="Arial" w:eastAsia="Arial" w:hAnsi="Arial"/>
          <w:b/>
          <w:bCs/>
          <w:sz w:val="24"/>
          <w:szCs w:val="24"/>
        </w:rPr>
        <w:t xml:space="preserve">APM Cognitif</w:t>
      </w:r>
      <w:r>
        <w:rPr>
          <w:rFonts w:ascii="Arial" w:cs="Arial" w:eastAsia="Arial" w:hAnsi="Arial"/>
          <w:sz w:val="24"/>
          <w:szCs w:val="24"/>
        </w:rPr>
        <w:t xml:space="preserve">.</w:t>
      </w:r>
    </w:p>
    <w:p>
      <w:pPr>
        <w:spacing w:after="200" w:line="276"/>
        <w:jc w:val="both"/>
      </w:pPr>
      <w:r>
        <w:rPr>
          <w:rFonts w:ascii="Arial" w:cs="Arial" w:eastAsia="Arial" w:hAnsi="Arial"/>
          <w:sz w:val="24"/>
          <w:szCs w:val="24"/>
        </w:rPr>
        <w:t xml:space="preserve">L'APM classique évalue les applications selon des critères de valeur métier et de qualité technique, produisant typiquement une matrice à quatre quadrants orientant les décisions d'investissement, de maintenance ou de retrait. L'APM Cognitif enrichit cette analyse de deux dimensions nouvelles.</w:t>
      </w:r>
    </w:p>
    <w:p>
      <w:pPr>
        <w:spacing w:after="200" w:line="276"/>
        <w:jc w:val="both"/>
      </w:pPr>
      <w:r>
        <w:rPr>
          <w:rFonts w:ascii="Arial" w:cs="Arial" w:eastAsia="Arial" w:hAnsi="Arial"/>
          <w:sz w:val="24"/>
          <w:szCs w:val="24"/>
        </w:rPr>
        <w:t xml:space="preserve">La première dimension évalue le </w:t>
      </w:r>
      <w:r>
        <w:rPr>
          <w:rFonts w:ascii="Arial" w:cs="Arial" w:eastAsia="Arial" w:hAnsi="Arial"/>
          <w:b/>
          <w:bCs/>
          <w:sz w:val="24"/>
          <w:szCs w:val="24"/>
        </w:rPr>
        <w:t xml:space="preserve">potentiel d'agentification</w:t>
      </w:r>
      <w:r>
        <w:rPr>
          <w:rFonts w:ascii="Arial" w:cs="Arial" w:eastAsia="Arial" w:hAnsi="Arial"/>
          <w:sz w:val="24"/>
          <w:szCs w:val="24"/>
        </w:rPr>
        <w:t xml:space="preserve"> de chaque composant du portefeuille. Quelles applications peuvent être encapsulées par des agents? Lesquelles peuvent être enrichies de capacités cognitives? Lesquelles doivent être remplacées par des agents natifs?</w:t>
      </w:r>
    </w:p>
    <w:p>
      <w:pPr>
        <w:spacing w:after="200" w:line="276"/>
        <w:jc w:val="both"/>
      </w:pPr>
      <w:r>
        <w:rPr>
          <w:rFonts w:ascii="Arial" w:cs="Arial" w:eastAsia="Arial" w:hAnsi="Arial"/>
          <w:sz w:val="24"/>
          <w:szCs w:val="24"/>
        </w:rPr>
        <w:t xml:space="preserve">La seconde dimension mesure la </w:t>
      </w:r>
      <w:r>
        <w:rPr>
          <w:rFonts w:ascii="Arial" w:cs="Arial" w:eastAsia="Arial" w:hAnsi="Arial"/>
          <w:b/>
          <w:bCs/>
          <w:sz w:val="24"/>
          <w:szCs w:val="24"/>
        </w:rPr>
        <w:t xml:space="preserve">maturité d'interopérabilité</w:t>
      </w:r>
      <w:r>
        <w:rPr>
          <w:rFonts w:ascii="Arial" w:cs="Arial" w:eastAsia="Arial" w:hAnsi="Arial"/>
          <w:sz w:val="24"/>
          <w:szCs w:val="24"/>
        </w:rPr>
        <w:t xml:space="preserve">. Dans quelle mesure chaque application respecte-t-elle les standards de l'architecture réactive? Expose-t-elle des API bien conçues? Produit-elle et consomme-t-elle des événements? Ses données sont-elles gouvernées par des contrats explicites?</w:t>
      </w:r>
    </w:p>
    <w:p>
      <w:pPr>
        <w:spacing w:after="15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65100" w:sz="12"/>
              <w:bottom w:val="none" w:color="FFFFFF" w:sz="0"/>
              <w:right w:val="none" w:color="FFFFFF" w:sz="0"/>
            </w:tcBorders>
            <w:shd w:fill="FFF3E0" w:val="clear"/>
            <w:tcMar>
              <w:top w:type="dxa" w:w="150"/>
              <w:left w:type="dxa" w:w="200"/>
              <w:bottom w:type="dxa" w:w="150"/>
              <w:right w:type="dxa" w:w="200"/>
            </w:tcMar>
          </w:tcPr>
          <w:p>
            <w:pPr>
              <w:spacing w:after="100"/>
            </w:pPr>
            <w:r>
              <w:rPr>
                <w:rFonts w:ascii="Arial" w:cs="Arial" w:eastAsia="Arial" w:hAnsi="Arial"/>
                <w:b/>
                <w:bCs/>
                <w:color w:val="E65100"/>
                <w:sz w:val="22"/>
                <w:szCs w:val="22"/>
              </w:rPr>
              <w:t xml:space="preserve">Définition formelle</w:t>
            </w:r>
          </w:p>
          <w:p>
            <w:pPr>
              <w:spacing w:after="80"/>
            </w:pPr>
            <w:r>
              <w:rPr>
                <w:rFonts w:ascii="Arial" w:cs="Arial" w:eastAsia="Arial" w:hAnsi="Arial"/>
                <w:i/>
                <w:iCs/>
                <w:sz w:val="22"/>
                <w:szCs w:val="22"/>
              </w:rPr>
              <w:t xml:space="preserve">APM Cognitif : Extension de la gestion de portefeuille applicatif intégrant l'évaluation du potentiel d'agentification et de la maturité d'interopérabilité de chaque composant, permettant de piloter la transformation vers l'entreprise agentique.</w:t>
            </w:r>
          </w:p>
        </w:tc>
      </w:tr>
    </w:tbl>
    <w:p>
      <w:pPr>
        <w:spacing w:after="200"/>
      </w:pPr>
    </w:p>
    <w:p>
      <w:pPr>
        <w:spacing w:after="200" w:line="276"/>
        <w:jc w:val="both"/>
      </w:pPr>
      <w:r>
        <w:rPr>
          <w:rFonts w:ascii="Arial" w:cs="Arial" w:eastAsia="Arial" w:hAnsi="Arial"/>
          <w:sz w:val="24"/>
          <w:szCs w:val="24"/>
        </w:rPr>
        <w:t xml:space="preserve">Cette boussole enrichie permet d'identifier les candidats prioritaires à la transformation, d'anticiper les dépendances critiques et de séquencer les initiatives de manière cohérente.</w:t>
      </w:r>
    </w:p>
    <w:p>
      <w:pPr>
        <w:pStyle w:val="Heading3"/>
      </w:pPr>
      <w:r>
        <w:t xml:space="preserve">I.4.2 Un Parcours en Quatre Phases</w:t>
      </w:r>
    </w:p>
    <w:p>
      <w:pPr>
        <w:spacing w:after="200" w:line="276"/>
        <w:jc w:val="both"/>
      </w:pPr>
      <w:r>
        <w:rPr>
          <w:rFonts w:ascii="Arial" w:cs="Arial" w:eastAsia="Arial" w:hAnsi="Arial"/>
          <w:sz w:val="24"/>
          <w:szCs w:val="24"/>
        </w:rPr>
        <w:t xml:space="preserve">La transformation vers l'entreprise agentique ne s'improvise pas. Elle suit un parcours structuré en quatre phases, chacune construisant sur les acquis de la précédente.</w:t>
      </w:r>
    </w:p>
    <w:p>
      <w:pPr>
        <w:spacing w:after="200" w:line="276"/>
        <w:jc w:val="both"/>
      </w:pPr>
      <w:r>
        <w:rPr>
          <w:rFonts w:ascii="Arial" w:cs="Arial" w:eastAsia="Arial" w:hAnsi="Arial"/>
          <w:sz w:val="24"/>
          <w:szCs w:val="24"/>
        </w:rPr>
        <w:t xml:space="preserve">La </w:t>
      </w:r>
      <w:r>
        <w:rPr>
          <w:rFonts w:ascii="Arial" w:cs="Arial" w:eastAsia="Arial" w:hAnsi="Arial"/>
          <w:b/>
          <w:bCs/>
          <w:sz w:val="24"/>
          <w:szCs w:val="24"/>
        </w:rPr>
        <w:t xml:space="preserve">Phase 1 : Fondations</w:t>
      </w:r>
      <w:r>
        <w:rPr>
          <w:rFonts w:ascii="Arial" w:cs="Arial" w:eastAsia="Arial" w:hAnsi="Arial"/>
          <w:sz w:val="24"/>
          <w:szCs w:val="24"/>
        </w:rPr>
        <w:t xml:space="preserve"> établit les prérequis architecturaux. Elle déploie le backbone événementiel, met en place la gouvernance des contrats de données et modernise la gestion des API. Sans ces fondations solides, les initiatives agentiques ultérieures reposeront sur du sable.</w:t>
      </w:r>
    </w:p>
    <w:p>
      <w:pPr>
        <w:spacing w:after="200" w:line="276"/>
        <w:jc w:val="both"/>
      </w:pPr>
      <w:r>
        <w:rPr>
          <w:rFonts w:ascii="Arial" w:cs="Arial" w:eastAsia="Arial" w:hAnsi="Arial"/>
          <w:sz w:val="24"/>
          <w:szCs w:val="24"/>
        </w:rPr>
        <w:t xml:space="preserve">La </w:t>
      </w:r>
      <w:r>
        <w:rPr>
          <w:rFonts w:ascii="Arial" w:cs="Arial" w:eastAsia="Arial" w:hAnsi="Arial"/>
          <w:b/>
          <w:bCs/>
          <w:sz w:val="24"/>
          <w:szCs w:val="24"/>
        </w:rPr>
        <w:t xml:space="preserve">Phase 2 : Expérimentation</w:t>
      </w:r>
      <w:r>
        <w:rPr>
          <w:rFonts w:ascii="Arial" w:cs="Arial" w:eastAsia="Arial" w:hAnsi="Arial"/>
          <w:sz w:val="24"/>
          <w:szCs w:val="24"/>
        </w:rPr>
        <w:t xml:space="preserve"> introduit les premiers agents cognitifs dans des périmètres circonscrits. Ces projets pilotes permettent d'acquérir les compétences, de valider les patterns architecturaux et de démontrer la valeur. Le choix des cas d'usage pilotes est crucial : suffisamment significatifs pour convaincre, suffisamment maîtrisés pour réussir.</w:t>
      </w:r>
    </w:p>
    <w:p>
      <w:pPr>
        <w:spacing w:after="200" w:line="276"/>
        <w:jc w:val="both"/>
      </w:pPr>
      <w:r>
        <w:rPr>
          <w:rFonts w:ascii="Arial" w:cs="Arial" w:eastAsia="Arial" w:hAnsi="Arial"/>
          <w:sz w:val="24"/>
          <w:szCs w:val="24"/>
        </w:rPr>
        <w:t xml:space="preserve">La </w:t>
      </w:r>
      <w:r>
        <w:rPr>
          <w:rFonts w:ascii="Arial" w:cs="Arial" w:eastAsia="Arial" w:hAnsi="Arial"/>
          <w:b/>
          <w:bCs/>
          <w:sz w:val="24"/>
          <w:szCs w:val="24"/>
        </w:rPr>
        <w:t xml:space="preserve">Phase 3 : Industrialisation</w:t>
      </w:r>
      <w:r>
        <w:rPr>
          <w:rFonts w:ascii="Arial" w:cs="Arial" w:eastAsia="Arial" w:hAnsi="Arial"/>
          <w:sz w:val="24"/>
          <w:szCs w:val="24"/>
        </w:rPr>
        <w:t xml:space="preserve"> passe à l'échelle les succès de l'expérimentation. Elle met en place les pratiques d'</w:t>
      </w:r>
      <w:r>
        <w:rPr>
          <w:rFonts w:ascii="Arial" w:cs="Arial" w:eastAsia="Arial" w:hAnsi="Arial"/>
          <w:b/>
          <w:bCs/>
          <w:sz w:val="24"/>
          <w:szCs w:val="24"/>
        </w:rPr>
        <w:t xml:space="preserve">AgentOps</w:t>
      </w:r>
      <w:r>
        <w:rPr>
          <w:rFonts w:ascii="Arial" w:cs="Arial" w:eastAsia="Arial" w:hAnsi="Arial"/>
          <w:sz w:val="24"/>
          <w:szCs w:val="24"/>
        </w:rPr>
        <w:t xml:space="preserve"> pour gérer le cycle de vie des agents en production. Elle développe les capacités de la plateforme pour accueillir un nombre croissant d'agents. Elle forme les équipes et adapte les processus organisationnels.</w:t>
      </w:r>
    </w:p>
    <w:p>
      <w:pPr>
        <w:spacing w:after="200" w:line="276"/>
        <w:jc w:val="both"/>
      </w:pPr>
      <w:r>
        <w:rPr>
          <w:rFonts w:ascii="Arial" w:cs="Arial" w:eastAsia="Arial" w:hAnsi="Arial"/>
          <w:sz w:val="24"/>
          <w:szCs w:val="24"/>
        </w:rPr>
        <w:t xml:space="preserve">La </w:t>
      </w:r>
      <w:r>
        <w:rPr>
          <w:rFonts w:ascii="Arial" w:cs="Arial" w:eastAsia="Arial" w:hAnsi="Arial"/>
          <w:b/>
          <w:bCs/>
          <w:sz w:val="24"/>
          <w:szCs w:val="24"/>
        </w:rPr>
        <w:t xml:space="preserve">Phase 4 : Optimisation</w:t>
      </w:r>
      <w:r>
        <w:rPr>
          <w:rFonts w:ascii="Arial" w:cs="Arial" w:eastAsia="Arial" w:hAnsi="Arial"/>
          <w:sz w:val="24"/>
          <w:szCs w:val="24"/>
        </w:rPr>
        <w:t xml:space="preserve"> fait émerger l'intelligence collective du maillage agentique. Les agents ne sont plus seulement juxtaposés; ils collaborent de manière sophistiquée pour atteindre des objectifs transversaux. L'organisation a développé la maturité pour confier des responsabilités croissantes à ses agents, tout en maintenant la gouvernance et l'alignement éthique.</w:t>
      </w:r>
    </w:p>
    <w:p>
      <w:pPr>
        <w:spacing w:after="15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B1FA2" w:sz="12"/>
              <w:bottom w:val="none" w:color="FFFFFF" w:sz="0"/>
              <w:right w:val="none" w:color="FFFFFF" w:sz="0"/>
            </w:tcBorders>
            <w:shd w:fill="F3E5F5" w:val="clear"/>
            <w:tcMar>
              <w:top w:type="dxa" w:w="150"/>
              <w:left w:type="dxa" w:w="200"/>
              <w:bottom w:type="dxa" w:w="150"/>
              <w:right w:type="dxa" w:w="200"/>
            </w:tcMar>
          </w:tcPr>
          <w:p>
            <w:pPr>
              <w:spacing w:after="100"/>
            </w:pPr>
            <w:r>
              <w:rPr>
                <w:rFonts w:ascii="Arial" w:cs="Arial" w:eastAsia="Arial" w:hAnsi="Arial"/>
                <w:b/>
                <w:bCs/>
                <w:color w:val="7B1FA2"/>
                <w:sz w:val="22"/>
                <w:szCs w:val="22"/>
              </w:rPr>
              <w:t xml:space="preserve">Exemple concret</w:t>
            </w:r>
          </w:p>
          <w:p>
            <w:pPr>
              <w:spacing w:after="80"/>
            </w:pPr>
            <w:r>
              <w:rPr>
                <w:rFonts w:ascii="Arial" w:cs="Arial" w:eastAsia="Arial" w:hAnsi="Arial"/>
                <w:i/>
                <w:iCs/>
                <w:sz w:val="22"/>
                <w:szCs w:val="22"/>
              </w:rPr>
              <w:t xml:space="preserve">Un assureur québécois a suivi ce parcours sur 30 mois. La Phase 1 (8 mois) a modernisé son infrastructure de données avec Apache Kafka. La Phase 2 (10 mois) a déployé des agents de traitement des réclamations simples. La Phase 3 (en cours) généralise l'approche à l'ensemble de la gestion des sinistres. L'organisation projette d'atteindre la Phase 4 dans les 18 prochains mois, avec des agents capables de gérer de bout en bout les sinistres standards sans intervention humaine.</w:t>
            </w:r>
          </w:p>
        </w:tc>
      </w:tr>
    </w:tbl>
    <w:p>
      <w:pPr>
        <w:spacing w:after="200"/>
      </w:pPr>
    </w:p>
    <w:p>
      <w:r>
        <w:br w:type="page"/>
      </w:r>
    </w:p>
    <w:p>
      <w:pPr>
        <w:pStyle w:val="Heading2"/>
      </w:pPr>
      <w:r>
        <w:t xml:space="preserve">I.5 Architecturer la Sagesse Collective</w:t>
      </w:r>
    </w:p>
    <w:p>
      <w:pPr>
        <w:spacing w:after="200" w:line="276"/>
        <w:jc w:val="both"/>
      </w:pPr>
      <w:r>
        <w:rPr>
          <w:rFonts w:ascii="Arial" w:cs="Arial" w:eastAsia="Arial" w:hAnsi="Arial"/>
          <w:sz w:val="24"/>
          <w:szCs w:val="24"/>
        </w:rPr>
        <w:t xml:space="preserve">Au terme de cette introduction, une vision émerge qui dépasse la simple modernisation technologique. L'entreprise agentique ne constitue pas seulement une nouvelle architecture; elle représente une nouvelle philosophie de l'organisation.</w:t>
      </w:r>
    </w:p>
    <w:p>
      <w:pPr>
        <w:spacing w:after="200" w:line="276"/>
        <w:jc w:val="both"/>
      </w:pPr>
      <w:r>
        <w:rPr>
          <w:rFonts w:ascii="Arial" w:cs="Arial" w:eastAsia="Arial" w:hAnsi="Arial"/>
          <w:sz w:val="24"/>
          <w:szCs w:val="24"/>
        </w:rPr>
        <w:t xml:space="preserve">Le </w:t>
      </w:r>
      <w:r>
        <w:rPr>
          <w:rFonts w:ascii="Arial" w:cs="Arial" w:eastAsia="Arial" w:hAnsi="Arial"/>
          <w:b/>
          <w:bCs/>
          <w:sz w:val="24"/>
          <w:szCs w:val="24"/>
        </w:rPr>
        <w:t xml:space="preserve">Jumeau Numérique Cognitif (JNC)</w:t>
      </w:r>
      <w:r>
        <w:rPr>
          <w:rFonts w:ascii="Arial" w:cs="Arial" w:eastAsia="Arial" w:hAnsi="Arial"/>
          <w:sz w:val="24"/>
          <w:szCs w:val="24"/>
        </w:rPr>
        <w:t xml:space="preserve"> incarne cette vision. Au-delà du jumeau numérique classique qui réplique les caractéristiques physiques d'un système, le JNC capture et modélise les flux de connaissance, les processus de décision et les dynamiques d'apprentissage de l'organisation. Il devient le miroir cognitif dans lequel l'entreprise peut observer son propre fonctionnement mental.</w:t>
      </w:r>
    </w:p>
    <w:p>
      <w:pPr>
        <w:spacing w:after="200" w:line="276"/>
        <w:jc w:val="both"/>
      </w:pPr>
      <w:r>
        <w:rPr>
          <w:rFonts w:ascii="Arial" w:cs="Arial" w:eastAsia="Arial" w:hAnsi="Arial"/>
          <w:sz w:val="24"/>
          <w:szCs w:val="24"/>
        </w:rPr>
        <w:t xml:space="preserve">La </w:t>
      </w:r>
      <w:r>
        <w:rPr>
          <w:rFonts w:ascii="Arial" w:cs="Arial" w:eastAsia="Arial" w:hAnsi="Arial"/>
          <w:b/>
          <w:bCs/>
          <w:sz w:val="24"/>
          <w:szCs w:val="24"/>
        </w:rPr>
        <w:t xml:space="preserve">Constitution agentique</w:t>
      </w:r>
      <w:r>
        <w:rPr>
          <w:rFonts w:ascii="Arial" w:cs="Arial" w:eastAsia="Arial" w:hAnsi="Arial"/>
          <w:sz w:val="24"/>
          <w:szCs w:val="24"/>
        </w:rPr>
        <w:t xml:space="preserve"> formalise les valeurs, les principes et les contraintes qui guident le comportement des agents. Elle traduit l'intention stratégique et l'éthique organisationnelle en règles opérationnelles que les agents respectent intrinsèquement. Cette constitution n'est pas un simple document; elle s'incarne dans les mécanismes de gouvernance qui supervisent en continu l'alignement des agents avec les objectifs définis.</w:t>
      </w:r>
    </w:p>
    <w:p>
      <w:pPr>
        <w:spacing w:after="200" w:line="276"/>
        <w:jc w:val="both"/>
      </w:pPr>
      <w:r>
        <w:rPr>
          <w:rFonts w:ascii="Arial" w:cs="Arial" w:eastAsia="Arial" w:hAnsi="Arial"/>
          <w:sz w:val="24"/>
          <w:szCs w:val="24"/>
        </w:rPr>
        <w:t xml:space="preserve">L'</w:t>
      </w:r>
      <w:r>
        <w:rPr>
          <w:rFonts w:ascii="Arial" w:cs="Arial" w:eastAsia="Arial" w:hAnsi="Arial"/>
          <w:b/>
          <w:bCs/>
          <w:sz w:val="24"/>
          <w:szCs w:val="24"/>
        </w:rPr>
        <w:t xml:space="preserve">architecte d'intentions</w:t>
      </w:r>
      <w:r>
        <w:rPr>
          <w:rFonts w:ascii="Arial" w:cs="Arial" w:eastAsia="Arial" w:hAnsi="Arial"/>
          <w:sz w:val="24"/>
          <w:szCs w:val="24"/>
        </w:rPr>
        <w:t xml:space="preserve"> émerge comme figure centrale de cette nouvelle organisation. Ce rôle transcende l'architecte d'entreprise traditionnel. Il ne conçoit plus seulement des systèmes techniques; il orchestre la collaboration entre intelligences humaines et artificielles. Il définit les orientations stratégiques, veille à l'alignement éthique et cultive l'émergence de la sagesse collective.</w:t>
      </w:r>
    </w:p>
    <w:p>
      <w:pPr>
        <w:spacing w:after="15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D32" w:sz="12"/>
              <w:bottom w:val="none" w:color="FFFFFF" w:sz="0"/>
              <w:right w:val="none" w:color="FFFFFF" w:sz="0"/>
            </w:tcBorders>
            <w:shd w:fill="E8F5E9" w:val="clear"/>
            <w:tcMar>
              <w:top w:type="dxa" w:w="150"/>
              <w:left w:type="dxa" w:w="200"/>
              <w:bottom w:type="dxa" w:w="150"/>
              <w:right w:type="dxa" w:w="200"/>
            </w:tcMar>
          </w:tcPr>
          <w:p>
            <w:pPr>
              <w:spacing w:after="100"/>
            </w:pPr>
            <w:r>
              <w:rPr>
                <w:rFonts w:ascii="Arial" w:cs="Arial" w:eastAsia="Arial" w:hAnsi="Arial"/>
                <w:b/>
                <w:bCs/>
                <w:color w:val="2E7D32"/>
                <w:sz w:val="22"/>
                <w:szCs w:val="22"/>
              </w:rPr>
              <w:t xml:space="preserve">Perspective stratégique</w:t>
            </w:r>
          </w:p>
          <w:p>
            <w:pPr>
              <w:spacing w:after="80"/>
            </w:pPr>
            <w:r>
              <w:rPr>
                <w:rFonts w:ascii="Arial" w:cs="Arial" w:eastAsia="Arial" w:hAnsi="Arial"/>
                <w:i/>
                <w:iCs/>
                <w:sz w:val="22"/>
                <w:szCs w:val="22"/>
              </w:rPr>
              <w:t xml:space="preserve">L'entreprise agentique représente un changement de nature, non de degré, dans l'évolution des organisations. Les décideurs qui la perçoivent comme une simple vague technologique de plus passeront à côté de sa portée transformatrice. Ceux qui en saisissent la dimension systémique pourront façonner des organisations plus adaptables, plus intelligentes et plus humaines.</w:t>
            </w:r>
          </w:p>
        </w:tc>
      </w:tr>
    </w:tbl>
    <w:p>
      <w:pPr>
        <w:spacing w:after="200"/>
      </w:pPr>
    </w:p>
    <w:p>
      <w:pPr>
        <w:spacing w:after="200" w:line="276"/>
        <w:jc w:val="both"/>
      </w:pPr>
      <w:r>
        <w:rPr>
          <w:rFonts w:ascii="Arial" w:cs="Arial" w:eastAsia="Arial" w:hAnsi="Arial"/>
          <w:sz w:val="24"/>
          <w:szCs w:val="24"/>
        </w:rPr>
        <w:t xml:space="preserve">Cette introduction a posé les jalons conceptuels. Les chapitres suivants approfondiront chaque dimension : la crise de l'intégration et ses causes profondes (Partie 1), l'architecture réactive et ses composants (Partie 2), l'interopérabilité cognitive (Partie 3), l'ère agentique et sa gouvernance (Partie 4), et enfin la transformation concrète vers cet horizon (Partie 5).</w:t>
      </w:r>
    </w:p>
    <w:p>
      <w:pPr>
        <w:spacing w:after="200" w:line="276"/>
        <w:jc w:val="both"/>
      </w:pPr>
      <w:r>
        <w:rPr>
          <w:rFonts w:ascii="Arial" w:cs="Arial" w:eastAsia="Arial" w:hAnsi="Arial"/>
          <w:sz w:val="24"/>
          <w:szCs w:val="24"/>
        </w:rPr>
        <w:t xml:space="preserve">Le voyage vers l'entreprise agentique commence. Il exige rigueur intellectuelle, courage organisationnel et vision à long terme. Mais pour ceux qui l'entreprendront avec discernement, il ouvre la voie vers une nouvelle forme d'excellence opérationnelle et stratégique.</w:t>
      </w:r>
    </w:p>
    <w:p>
      <w:r>
        <w:br w:type="page"/>
      </w:r>
    </w:p>
    <w:p>
      <w:pPr>
        <w:pStyle w:val="Heading2"/>
      </w:pPr>
      <w:r>
        <w:t xml:space="preserve">I.6 Résumé</w:t>
      </w:r>
    </w:p>
    <w:p>
      <w:pPr>
        <w:spacing w:after="200" w:line="276"/>
        <w:jc w:val="both"/>
      </w:pPr>
      <w:r>
        <w:rPr>
          <w:rFonts w:ascii="Arial" w:cs="Arial" w:eastAsia="Arial" w:hAnsi="Arial"/>
          <w:sz w:val="24"/>
          <w:szCs w:val="24"/>
        </w:rPr>
        <w:t xml:space="preserve">Cette introduction a établi les fondements conceptuels de la monographie sur l'entreprise agentique :</w:t>
      </w:r>
    </w:p>
    <w:p>
      <w:pPr>
        <w:spacing w:after="200" w:line="276"/>
        <w:jc w:val="both"/>
      </w:pPr>
      <w:r>
        <w:rPr>
          <w:rFonts w:ascii="Arial" w:cs="Arial" w:eastAsia="Arial" w:hAnsi="Arial"/>
          <w:b/>
          <w:bCs/>
          <w:sz w:val="24"/>
          <w:szCs w:val="24"/>
        </w:rPr>
        <w:t xml:space="preserve">Le constat de crise : </w:t>
      </w:r>
      <w:r>
        <w:rPr>
          <w:rFonts w:ascii="Arial" w:cs="Arial" w:eastAsia="Arial" w:hAnsi="Arial"/>
          <w:sz w:val="24"/>
          <w:szCs w:val="24"/>
        </w:rPr>
        <w:t xml:space="preserve">Les systèmes d'information contemporains souffrent d'une dette cognitive qui dépasse la dette technique traditionnelle. Les approches successives d'intégration (EAI, SOA, microservices) ont déplacé la complexité sans la résoudre. La fragmentation technologique, organisationnelle, temporelle et géographique paralyse l'adaptation.</w:t>
      </w:r>
    </w:p>
    <w:p>
      <w:pPr>
        <w:spacing w:after="200" w:line="276"/>
        <w:jc w:val="both"/>
      </w:pPr>
      <w:r>
        <w:rPr>
          <w:rFonts w:ascii="Arial" w:cs="Arial" w:eastAsia="Arial" w:hAnsi="Arial"/>
          <w:b/>
          <w:bCs/>
          <w:sz w:val="24"/>
          <w:szCs w:val="24"/>
        </w:rPr>
        <w:t xml:space="preserve">La réponse architecturale : </w:t>
      </w:r>
      <w:r>
        <w:rPr>
          <w:rFonts w:ascii="Arial" w:cs="Arial" w:eastAsia="Arial" w:hAnsi="Arial"/>
          <w:sz w:val="24"/>
          <w:szCs w:val="24"/>
        </w:rPr>
        <w:t xml:space="preserve">Le passage de l'intégration à l'interopérabilité constitue un saut conceptuel nécessaire. Le système nerveux numérique, reposant sur l'écosystème API, l'architecture orientée événements, les contrats de données et l'observabilité unifiée, crée les conditions de l'agilité retrouvée.</w:t>
      </w:r>
    </w:p>
    <w:p>
      <w:pPr>
        <w:spacing w:after="200" w:line="276"/>
        <w:jc w:val="both"/>
      </w:pPr>
      <w:r>
        <w:rPr>
          <w:rFonts w:ascii="Arial" w:cs="Arial" w:eastAsia="Arial" w:hAnsi="Arial"/>
          <w:b/>
          <w:bCs/>
          <w:sz w:val="24"/>
          <w:szCs w:val="24"/>
        </w:rPr>
        <w:t xml:space="preserve">Le paradigme agentique : </w:t>
      </w:r>
      <w:r>
        <w:rPr>
          <w:rFonts w:ascii="Arial" w:cs="Arial" w:eastAsia="Arial" w:hAnsi="Arial"/>
          <w:sz w:val="24"/>
          <w:szCs w:val="24"/>
        </w:rPr>
        <w:t xml:space="preserve">L'Interopérabilité Cognitivo-Adaptative (ICA) ajoute la dimension intentionnelle à l'interopérabilité sémantique. Les agents cognitifs deviennent des acteurs à part entière du système d'information, collaborant via le maillage agentique dans une symbiose productive avec les humains.</w:t>
      </w:r>
    </w:p>
    <w:p>
      <w:pPr>
        <w:spacing w:after="200" w:line="276"/>
        <w:jc w:val="both"/>
      </w:pPr>
      <w:r>
        <w:rPr>
          <w:rFonts w:ascii="Arial" w:cs="Arial" w:eastAsia="Arial" w:hAnsi="Arial"/>
          <w:b/>
          <w:bCs/>
          <w:sz w:val="24"/>
          <w:szCs w:val="24"/>
        </w:rPr>
        <w:t xml:space="preserve">La voie de transformation : </w:t>
      </w:r>
      <w:r>
        <w:rPr>
          <w:rFonts w:ascii="Arial" w:cs="Arial" w:eastAsia="Arial" w:hAnsi="Arial"/>
          <w:sz w:val="24"/>
          <w:szCs w:val="24"/>
        </w:rPr>
        <w:t xml:space="preserve">L'APM Cognitif offre une boussole enrichie pour piloter la transformation. Un parcours en quatre phases (Fondations, Expérimentation, Industrialisation, Optimisation) structure la progression vers l'entreprise agentique.</w:t>
      </w:r>
    </w:p>
    <w:p>
      <w:pPr>
        <w:spacing w:after="200" w:line="276"/>
        <w:jc w:val="both"/>
      </w:pPr>
      <w:r>
        <w:rPr>
          <w:rFonts w:ascii="Arial" w:cs="Arial" w:eastAsia="Arial" w:hAnsi="Arial"/>
          <w:b/>
          <w:bCs/>
          <w:sz w:val="24"/>
          <w:szCs w:val="24"/>
        </w:rPr>
        <w:t xml:space="preserve">La vision d'ensemble : </w:t>
      </w:r>
      <w:r>
        <w:rPr>
          <w:rFonts w:ascii="Arial" w:cs="Arial" w:eastAsia="Arial" w:hAnsi="Arial"/>
          <w:sz w:val="24"/>
          <w:szCs w:val="24"/>
        </w:rPr>
        <w:t xml:space="preserve">Le Jumeau Numérique Cognitif, la Constitution agentique et l'architecte d'intentions incarnent une nouvelle philosophie organisationnelle où l'intelligence collective émerge de la collaboration entre humains et agents.</w:t>
      </w:r>
    </w:p>
    <w:p>
      <w:pPr>
        <w:spacing w:after="300"/>
      </w:pPr>
    </w:p>
    <w:p>
      <w:pPr>
        <w:spacing w:after="200"/>
      </w:pPr>
      <w:r>
        <w:rPr>
          <w:rFonts w:ascii="Arial" w:cs="Arial" w:eastAsia="Arial" w:hAnsi="Arial"/>
          <w:b/>
          <w:bCs/>
          <w:sz w:val="24"/>
          <w:szCs w:val="24"/>
        </w:rPr>
        <w:t xml:space="preserve">Tableau récapitulatif des concepts clés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tcPr>
          <w:p>
            <w:r>
              <w:rPr>
                <w:rFonts w:ascii="Arial" w:cs="Arial" w:eastAsia="Arial" w:hAnsi="Arial"/>
                <w:b/>
                <w:bCs/>
                <w:color w:val="FFFFFF"/>
                <w:sz w:val="22"/>
                <w:szCs w:val="22"/>
              </w:rPr>
              <w:t xml:space="preserve">Concept clé</w:t>
            </w:r>
          </w:p>
        </w:tc>
        <w:tc>
          <w:tcPr>
            <w:tcW w:type="dxa" w:w="586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tcPr>
          <w:p>
            <w:r>
              <w:rPr>
                <w:rFonts w:ascii="Arial" w:cs="Arial" w:eastAsia="Arial" w:hAnsi="Arial"/>
                <w:b/>
                <w:bCs/>
                <w:color w:val="FFFFFF"/>
                <w:sz w:val="22"/>
                <w:szCs w:val="22"/>
              </w:rPr>
              <w:t xml:space="preserve">Définition succincte</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Dette cognitive</w:t>
            </w:r>
          </w:p>
        </w:tc>
        <w:tc>
          <w:tcPr>
            <w:tcW w:type="dxa" w:w="5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Accumulation du savoir implicite rendant les systèmes incompréhensibles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Interopérabilité</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Capacité intrinsèque à collaborer via contrats et protocoles partagés</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Système nerveux numérique</w:t>
            </w:r>
          </w:p>
        </w:tc>
        <w:tc>
          <w:tcPr>
            <w:tcW w:type="dxa" w:w="5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Infrastructure unifiée de communication événementielle</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ICA</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Interopérabilité intégrant contexte, intention et adaptation dynamique</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Agent cognitif</w:t>
            </w:r>
          </w:p>
        </w:tc>
        <w:tc>
          <w:tcPr>
            <w:tcW w:type="dxa" w:w="5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Entité autonome capable de perception, raisonnement et action</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Maillage agentique</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Architecture de collaboration dynamique entre agents</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APM Cognitif</w:t>
            </w:r>
          </w:p>
        </w:tc>
        <w:tc>
          <w:tcPr>
            <w:tcW w:type="dxa" w:w="5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Gestion de portefeuille intégrant potentiel d'agentification</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Constitution agentique</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Formalisation des valeurs et contraintes guidant les agents</w:t>
            </w:r>
          </w:p>
        </w:tc>
      </w:tr>
    </w:tbl>
    <w:p>
      <w:pPr>
        <w:spacing w:after="400"/>
      </w:pPr>
    </w:p>
    <w:p>
      <w:pPr>
        <w:jc w:val="center"/>
      </w:pPr>
      <w:r>
        <w:rPr>
          <w:color w:val="4A90D9"/>
          <w:sz w:val="24"/>
          <w:szCs w:val="24"/>
        </w:rPr>
        <w:t xml:space="preserve">───────────────────────────────</w:t>
      </w:r>
    </w:p>
    <w:p>
      <w:pPr>
        <w:spacing w:before="200"/>
        <w:jc w:val="center"/>
      </w:pPr>
      <w:r>
        <w:rPr>
          <w:rFonts w:ascii="Arial" w:cs="Arial" w:eastAsia="Arial" w:hAnsi="Arial"/>
          <w:i/>
          <w:iCs/>
          <w:color w:val="2E5B8A"/>
          <w:sz w:val="22"/>
          <w:szCs w:val="22"/>
        </w:rPr>
        <w:t xml:space="preserve">La Partie 1 qui suit approfondit la crise de l'intégration, en explorant ses dimensions historiques, structurelles et humaines, pour ancrer solidement le diagnostic sur lequel repose l'ensemble de la transformation proposée.</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2E5B8A"/>
        <w:sz w:val="18"/>
        <w:szCs w:val="18"/>
      </w:rPr>
      <w:t xml:space="preserve">Volume I : Fondations de l'Entreprise Agentique —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2E5B8A"/>
        <w:sz w:val="20"/>
        <w:szCs w:val="20"/>
      </w:rPr>
      <w:t xml:space="preserve">Introduction — Métamorphose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outlineLvl w:val="0"/>
    </w:pPr>
    <w:rPr>
      <w:rFonts w:ascii="Arial" w:cs="Arial" w:eastAsia="Arial" w:hAnsi="Arial"/>
      <w:b/>
      <w:bCs/>
      <w:color w:val="1E3A5F"/>
      <w:sz w:val="36"/>
      <w:szCs w:val="36"/>
    </w:rPr>
  </w:style>
  <w:style w:type="paragraph" w:styleId="Heading2">
    <w:name w:val="Heading 2"/>
    <w:basedOn w:val="Normal"/>
    <w:next w:val="Normal"/>
    <w:qFormat/>
    <w:pPr>
      <w:spacing w:before="300" w:after="150"/>
      <w:outlineLvl w:val="1"/>
    </w:pPr>
    <w:rPr>
      <w:rFonts w:ascii="Arial" w:cs="Arial" w:eastAsia="Arial" w:hAnsi="Arial"/>
      <w:b/>
      <w:bCs/>
      <w:color w:val="2E5B8A"/>
      <w:sz w:val="30"/>
      <w:szCs w:val="30"/>
    </w:rPr>
  </w:style>
  <w:style w:type="paragraph" w:styleId="Heading3">
    <w:name w:val="Heading 3"/>
    <w:basedOn w:val="Normal"/>
    <w:next w:val="Normal"/>
    <w:qFormat/>
    <w:pPr>
      <w:spacing w:before="240" w:after="120"/>
      <w:outlineLvl w:val="2"/>
    </w:pPr>
    <w:rPr>
      <w:rFonts w:ascii="Arial" w:cs="Arial" w:eastAsia="Arial" w:hAnsi="Arial"/>
      <w:b/>
      <w:bCs/>
      <w:color w:val="33333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2026-01-11T10:54:42.813Z</dcterms:created>
  <dcterms:modified xsi:type="dcterms:W3CDTF">2026-01-11T10:54:42.814Z</dcterms:modified>
</cp:coreProperties>
</file>

<file path=docProps/custom.xml><?xml version="1.0" encoding="utf-8"?>
<Properties xmlns="http://schemas.openxmlformats.org/officeDocument/2006/custom-properties" xmlns:vt="http://schemas.openxmlformats.org/officeDocument/2006/docPropsVTypes"/>
</file>