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200"/>
        <w:jc w:val="center"/>
      </w:pPr>
      <w:r>
        <w:rPr>
          <w:rFonts w:ascii="Arial" w:cs="Arial" w:eastAsia="Arial" w:hAnsi="Arial"/>
          <w:color w:val="2E5B8A"/>
          <w:sz w:val="28"/>
          <w:szCs w:val="28"/>
        </w:rPr>
        <w:t xml:space="preserve">PARTIE 1</w:t>
      </w:r>
    </w:p>
    <w:p>
      <w:pPr>
        <w:spacing w:after="600"/>
        <w:jc w:val="center"/>
      </w:pPr>
      <w:r>
        <w:rPr>
          <w:rFonts w:ascii="Arial" w:cs="Arial" w:eastAsia="Arial" w:hAnsi="Arial"/>
          <w:b/>
          <w:bCs/>
          <w:color w:val="1E3A5F"/>
          <w:sz w:val="36"/>
          <w:szCs w:val="36"/>
        </w:rPr>
        <w:t xml:space="preserve">LA CRISE DE L'INTÉGRATION</w:t>
      </w:r>
    </w:p>
    <w:p>
      <w:pPr>
        <w:jc w:val="center"/>
      </w:pPr>
      <w:r>
        <w:rPr>
          <w:color w:val="4A90D9"/>
          <w:sz w:val="28"/>
          <w:szCs w:val="28"/>
        </w:rPr>
        <w:t xml:space="preserve">───────────────────────────────</w:t>
      </w:r>
    </w:p>
    <w:p>
      <w:pPr>
        <w:spacing w:after="800"/>
      </w:pPr>
    </w:p>
    <w:p>
      <w:pPr>
        <w:spacing w:after="200"/>
        <w:jc w:val="center"/>
      </w:pPr>
      <w:r>
        <w:rPr>
          <w:rFonts w:ascii="Arial" w:cs="Arial" w:eastAsia="Arial" w:hAnsi="Arial"/>
          <w:color w:val="2E5B8A"/>
          <w:sz w:val="32"/>
          <w:szCs w:val="32"/>
        </w:rPr>
        <w:t xml:space="preserve">CHAPITRE I.1</w:t>
      </w:r>
    </w:p>
    <w:p>
      <w:pPr>
        <w:spacing w:after="300"/>
        <w:jc w:val="center"/>
      </w:pPr>
      <w:r>
        <w:rPr>
          <w:rFonts w:ascii="Arial" w:cs="Arial" w:eastAsia="Arial" w:hAnsi="Arial"/>
          <w:b/>
          <w:bCs/>
          <w:color w:val="1E3A5F"/>
          <w:sz w:val="40"/>
          <w:szCs w:val="40"/>
        </w:rPr>
        <w:t xml:space="preserve">CRISE DE L'INTÉGRATION SYSTÉMIQUE</w:t>
      </w:r>
    </w:p>
    <w:p>
      <w:pPr>
        <w:spacing w:after="100"/>
        <w:jc w:val="center"/>
      </w:pPr>
      <w:r>
        <w:rPr>
          <w:rFonts w:ascii="Arial" w:cs="Arial" w:eastAsia="Arial" w:hAnsi="Arial"/>
          <w:b/>
          <w:bCs/>
          <w:color w:val="1E3A5F"/>
          <w:sz w:val="40"/>
          <w:szCs w:val="40"/>
        </w:rPr>
        <w:t xml:space="preserve">À L'ÈRE DE LA COMPLEXITÉ</w:t>
      </w:r>
    </w:p>
    <w:p>
      <w:pPr>
        <w:spacing w:after="3500"/>
      </w:pPr>
    </w:p>
    <w:p>
      <w:pPr>
        <w:spacing w:after="200"/>
        <w:jc w:val="center"/>
      </w:pPr>
      <w:r>
        <w:rPr>
          <w:rFonts w:ascii="Arial" w:cs="Arial" w:eastAsia="Arial" w:hAnsi="Arial"/>
          <w:i/>
          <w:iCs/>
          <w:color w:val="2E5B8A"/>
          <w:sz w:val="24"/>
          <w:szCs w:val="24"/>
        </w:rPr>
        <w:t xml:space="preserve">Volume I : Fondations de l'Entreprise Agentique</w:t>
      </w:r>
    </w:p>
    <w:p>
      <w:pPr>
        <w:sectPr>
          <w:pgSz w:w="12240" w:h="15840" w:orient="portrait"/>
          <w:pgMar w:top="1440" w:right="1440" w:bottom="1440" w:left="1440" w:header="708" w:footer="708" w:gutter="0"/>
          <w:pgNumType/>
          <w:docGrid w:linePitch="360"/>
        </w:sectPr>
      </w:pPr>
    </w:p>
    <w:p>
      <w:pPr>
        <w:pStyle w:val="Heading1"/>
      </w:pPr>
      <w:r>
        <w:t xml:space="preserve">CHAPITRE I.1 — CRISE DE L'INTÉGRATION SYSTÉMIQUE À L'ÈRE DE LA COMPLEXITÉ</w:t>
      </w:r>
    </w:p>
    <w:p>
      <w:pPr>
        <w:spacing w:after="200" w:line="276"/>
        <w:jc w:val="both"/>
      </w:pPr>
      <w:r>
        <w:rPr>
          <w:rFonts w:ascii="Arial" w:cs="Arial" w:eastAsia="Arial" w:hAnsi="Arial"/>
          <w:sz w:val="24"/>
          <w:szCs w:val="24"/>
        </w:rPr>
        <w:t xml:space="preserve">L'histoire des systèmes d'information d'entreprise est paradoxale. Chaque génération technologique a promis de résoudre les problèmes de la précédente, et chaque génération a engendré de nouvelles formes de complexité. Des premiers mainframes isolés aux architectures de microservices distribuées, le rêve d'un système d'information unifié et agile semble s'éloigner à mesure que les moyens techniques se multiplient.</w:t>
      </w:r>
    </w:p>
    <w:p>
      <w:pPr>
        <w:spacing w:after="200" w:line="276"/>
        <w:jc w:val="both"/>
      </w:pPr>
      <w:r>
        <w:rPr>
          <w:rFonts w:ascii="Arial" w:cs="Arial" w:eastAsia="Arial" w:hAnsi="Arial"/>
          <w:sz w:val="24"/>
          <w:szCs w:val="24"/>
        </w:rPr>
        <w:t xml:space="preserve">Ce chapitre pose un diagnostic sans complaisance sur l'état actuel de l'intégration des systèmes d'information. Il ne s'agit pas d'un exercice de nostalgie technologique ni d'une complainte sur la dette technique. L'objectif est de comprendre les mécanismes profonds qui ont conduit à la crise systémique actuelle, afin d'identifier les conditions nécessaires à son dépassement.</w:t>
      </w:r>
    </w:p>
    <w:p>
      <w:pPr>
        <w:spacing w:after="200" w:line="276"/>
        <w:jc w:val="both"/>
      </w:pPr>
      <w:r>
        <w:rPr>
          <w:rFonts w:ascii="Arial" w:cs="Arial" w:eastAsia="Arial" w:hAnsi="Arial"/>
          <w:sz w:val="24"/>
          <w:szCs w:val="24"/>
        </w:rPr>
        <w:t xml:space="preserve">Nous explorerons d'abord l'archéologie de l'intégration, ce cycle de promesses et de déceptions qui caractérise cinquante années d'évolution des systèmes d'information. Nous analyserons ensuite la fragmentation contemporaine, cette coexistence chaotique de technologies et de paradigmes incompatibles. Enfin, nous examinerons la dimension humaine trop souvent occultée : la dette cognitive et l'épuisement organisationnel qui paralysent les équipes techniques.</w:t>
      </w:r>
    </w:p>
    <w:p>
      <w:pPr>
        <w:pStyle w:val="Heading2"/>
      </w:pPr>
      <w:r>
        <w:t xml:space="preserve">I.1.1 L'Archéologie de l'Intégration : Un Cycle de Promesses et de Déceptions</w:t>
      </w:r>
    </w:p>
    <w:p>
      <w:pPr>
        <w:spacing w:after="200" w:line="276"/>
        <w:jc w:val="both"/>
      </w:pPr>
      <w:r>
        <w:rPr>
          <w:rFonts w:ascii="Arial" w:cs="Arial" w:eastAsia="Arial" w:hAnsi="Arial"/>
          <w:sz w:val="24"/>
          <w:szCs w:val="24"/>
        </w:rPr>
        <w:t xml:space="preserve">Comprendre la crise actuelle exige un regard rétrospectif. L'histoire de l'intégration des systèmes d'information révèle un pattern récurrent : chaque paradigme émerge comme solution aux limitations du précédent, triomphe pendant une décennie, puis s'effondre sous le poids de ses propres contradictions. Cette archéologie n'est pas un exercice académique; elle éclaire les erreurs à ne pas reproduire.</w:t>
      </w:r>
    </w:p>
    <w:p>
      <w:pPr>
        <w:pStyle w:val="Heading3"/>
      </w:pPr>
      <w:r>
        <w:t xml:space="preserve">I.1.1.1 L'Ère des Silos et le « Plat de Spaghettis » Originel</w:t>
      </w:r>
    </w:p>
    <w:p>
      <w:pPr>
        <w:spacing w:after="200" w:line="276"/>
        <w:jc w:val="both"/>
      </w:pPr>
      <w:r>
        <w:rPr>
          <w:rFonts w:ascii="Arial" w:cs="Arial" w:eastAsia="Arial" w:hAnsi="Arial"/>
          <w:sz w:val="24"/>
          <w:szCs w:val="24"/>
        </w:rPr>
        <w:t xml:space="preserve">Les années 1970 et 1980 ont vu l'informatisation progressive des fonctions de l'entreprise. Chaque département acquérait son propre système : comptabilité, gestion des stocks, paie, production. Ces applications, développées indépendamment et souvent par des fournisseurs différents, formaient des îlots technologiques sans communication native.</w:t>
      </w:r>
    </w:p>
    <w:p>
      <w:pPr>
        <w:spacing w:after="200" w:line="276"/>
        <w:jc w:val="both"/>
      </w:pPr>
      <w:r>
        <w:rPr>
          <w:rFonts w:ascii="Arial" w:cs="Arial" w:eastAsia="Arial" w:hAnsi="Arial"/>
          <w:sz w:val="24"/>
          <w:szCs w:val="24"/>
        </w:rPr>
        <w:t xml:space="preserve">Le besoin d'échanger des données entre ces silos a rapidement émergé. La réponse initiale fut pragmatique et directe : les connexions point à point. Un programme extrait les données du système A, les transforme selon les besoins du système B, et les injecte dans ce dernier. Simple en apparence, cette approche a engendré ce que l'industrie appellera le « plat de spaghettis » : un enchevêtrement de connexions dont la complexité croît de manière exponentielle avec le nombre de systèmes.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5100" w:sz="12"/>
              <w:bottom w:val="none" w:color="FFFFFF" w:sz="0"/>
              <w:right w:val="none" w:color="FFFFFF" w:sz="0"/>
            </w:tcBorders>
            <w:shd w:fill="FFF3E0" w:val="clear"/>
            <w:tcMar>
              <w:top w:type="dxa" w:w="150"/>
              <w:left w:type="dxa" w:w="200"/>
              <w:bottom w:type="dxa" w:w="150"/>
              <w:right w:type="dxa" w:w="200"/>
            </w:tcMar>
          </w:tcPr>
          <w:p>
            <w:pPr>
              <w:spacing w:after="100"/>
            </w:pPr>
            <w:r>
              <w:rPr>
                <w:rFonts w:ascii="Arial" w:cs="Arial" w:eastAsia="Arial" w:hAnsi="Arial"/>
                <w:b/>
                <w:bCs/>
                <w:color w:val="E65100"/>
                <w:sz w:val="22"/>
                <w:szCs w:val="22"/>
              </w:rPr>
              <w:t xml:space="preserve">Définition formelle</w:t>
            </w:r>
          </w:p>
          <w:p>
            <w:pPr>
              <w:spacing w:after="80"/>
            </w:pPr>
            <w:r>
              <w:rPr>
                <w:rFonts w:ascii="Arial" w:cs="Arial" w:eastAsia="Arial" w:hAnsi="Arial"/>
                <w:i/>
                <w:iCs/>
                <w:sz w:val="22"/>
                <w:szCs w:val="22"/>
              </w:rPr>
              <w:t xml:space="preserve">Intégration point à point : Méthode d'interconnexion où chaque système source est directement connecté à chaque système cible via une interface dédiée. Pour n systèmes, cette approche génère potentiellement n×(n-1) connexions distinctes à maintenir.</w:t>
            </w:r>
          </w:p>
        </w:tc>
      </w:tr>
    </w:tbl>
    <w:p>
      <w:pPr>
        <w:spacing w:after="200"/>
      </w:pPr>
    </w:p>
    <w:p>
      <w:pPr>
        <w:spacing w:after="200" w:line="276"/>
        <w:jc w:val="both"/>
      </w:pPr>
      <w:r>
        <w:rPr>
          <w:rFonts w:ascii="Arial" w:cs="Arial" w:eastAsia="Arial" w:hAnsi="Arial"/>
          <w:sz w:val="24"/>
          <w:szCs w:val="24"/>
        </w:rPr>
        <w:t xml:space="preserve">La mathématique est implacable. Cinq systèmes interconnectés peuvent nécessiter jusqu'à vingt interfaces. Dix systèmes peuvent en exiger quatre-vingt-dix. Les grandes organisations, comptant des centaines d'applications, se sont retrouvées avec des milliers de connexions, chacune représentant un point de fragilité, une source potentielle d'incohérence, un coût de maintenance.</w:t>
      </w:r>
    </w:p>
    <w:p>
      <w:pPr>
        <w:spacing w:after="200" w:line="276"/>
        <w:jc w:val="both"/>
      </w:pPr>
      <w:r>
        <w:rPr>
          <w:rFonts w:ascii="Arial" w:cs="Arial" w:eastAsia="Arial" w:hAnsi="Arial"/>
          <w:sz w:val="24"/>
          <w:szCs w:val="24"/>
        </w:rPr>
        <w:t xml:space="preserve">Le « plat de spaghettis » n'était pas qu'une métaphore culinaire; il décrivait une réalité opérationnelle cauchemardesque. Modifier une application exigeait d'identifier toutes ses connexions entrantes et sortantes, de coordonner les changements avec les équipes responsables de chaque système connecté, de tester l'ensemble des flux impactés. La </w:t>
      </w:r>
      <w:r>
        <w:rPr>
          <w:rFonts w:ascii="Arial" w:cs="Arial" w:eastAsia="Arial" w:hAnsi="Arial"/>
          <w:b/>
          <w:bCs/>
          <w:sz w:val="24"/>
          <w:szCs w:val="24"/>
        </w:rPr>
        <w:t xml:space="preserve">vélocité</w:t>
      </w:r>
      <w:r>
        <w:rPr>
          <w:rFonts w:ascii="Arial" w:cs="Arial" w:eastAsia="Arial" w:hAnsi="Arial"/>
          <w:sz w:val="24"/>
          <w:szCs w:val="24"/>
        </w:rPr>
        <w:t xml:space="preserve"> de l'organisation — sa capacité à évoluer rapidement — s'effondrait sous le poids de ces interdépendances.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FA2" w:sz="12"/>
              <w:bottom w:val="none" w:color="FFFFFF" w:sz="0"/>
              <w:right w:val="none" w:color="FFFFFF" w:sz="0"/>
            </w:tcBorders>
            <w:shd w:fill="F3E5F5" w:val="clear"/>
            <w:tcMar>
              <w:top w:type="dxa" w:w="150"/>
              <w:left w:type="dxa" w:w="200"/>
              <w:bottom w:type="dxa" w:w="150"/>
              <w:right w:type="dxa" w:w="200"/>
            </w:tcMar>
          </w:tcPr>
          <w:p>
            <w:pPr>
              <w:spacing w:after="100"/>
            </w:pPr>
            <w:r>
              <w:rPr>
                <w:rFonts w:ascii="Arial" w:cs="Arial" w:eastAsia="Arial" w:hAnsi="Arial"/>
                <w:b/>
                <w:bCs/>
                <w:color w:val="7B1FA2"/>
                <w:sz w:val="22"/>
                <w:szCs w:val="22"/>
              </w:rPr>
              <w:t xml:space="preserve">Exemple concret</w:t>
            </w:r>
          </w:p>
          <w:p>
            <w:pPr>
              <w:spacing w:after="80"/>
            </w:pPr>
            <w:r>
              <w:rPr>
                <w:rFonts w:ascii="Arial" w:cs="Arial" w:eastAsia="Arial" w:hAnsi="Arial"/>
                <w:i/>
                <w:iCs/>
                <w:sz w:val="22"/>
                <w:szCs w:val="22"/>
              </w:rPr>
              <w:t xml:space="preserve">Une compagnie d'assurance québécoise documentait en 1995 plus de 1 200 interfaces point à point entre ses 47 applications principales. La modification du format d'un numéro de police nécessitait 18 mois de travail coordonné entre 12 équipes. Ce délai rendait impossible toute réponse agile aux évolutions réglementaires ou concurrentielles.</w:t>
            </w:r>
          </w:p>
        </w:tc>
      </w:tr>
    </w:tbl>
    <w:p>
      <w:pPr>
        <w:spacing w:after="200"/>
      </w:pPr>
    </w:p>
    <w:p>
      <w:pPr>
        <w:pStyle w:val="Heading3"/>
      </w:pPr>
      <w:r>
        <w:t xml:space="preserve">I.1.1.2 La Promesse Centralisatrice : EAI, SOA et le Monolithe de l'ESB</w:t>
      </w:r>
    </w:p>
    <w:p>
      <w:pPr>
        <w:spacing w:after="200" w:line="276"/>
        <w:jc w:val="both"/>
      </w:pPr>
      <w:r>
        <w:rPr>
          <w:rFonts w:ascii="Arial" w:cs="Arial" w:eastAsia="Arial" w:hAnsi="Arial"/>
          <w:sz w:val="24"/>
          <w:szCs w:val="24"/>
        </w:rPr>
        <w:t xml:space="preserve">Face au chaos des connexions point à point, l'industrie a proposé une solution élégante en théorie : la centralisation des échanges. Plutôt que de connecter chaque système à tous les autres, pourquoi ne pas créer un hub central par lequel transiteraient toutes les communications?</w:t>
      </w:r>
    </w:p>
    <w:p>
      <w:pPr>
        <w:spacing w:after="200" w:line="276"/>
        <w:jc w:val="both"/>
      </w:pPr>
      <w:r>
        <w:rPr>
          <w:rFonts w:ascii="Arial" w:cs="Arial" w:eastAsia="Arial" w:hAnsi="Arial"/>
          <w:sz w:val="24"/>
          <w:szCs w:val="24"/>
        </w:rPr>
        <w:t xml:space="preserve">L'</w:t>
      </w:r>
      <w:r>
        <w:rPr>
          <w:rFonts w:ascii="Arial" w:cs="Arial" w:eastAsia="Arial" w:hAnsi="Arial"/>
          <w:b/>
          <w:bCs/>
          <w:sz w:val="24"/>
          <w:szCs w:val="24"/>
        </w:rPr>
        <w:t xml:space="preserve">Enterprise Application Integration (EAI)</w:t>
      </w:r>
      <w:r>
        <w:rPr>
          <w:rFonts w:ascii="Arial" w:cs="Arial" w:eastAsia="Arial" w:hAnsi="Arial"/>
          <w:sz w:val="24"/>
          <w:szCs w:val="24"/>
        </w:rPr>
        <w:t xml:space="preserve"> des années 1990 incarnait cette vision. Des plateformes comme TIBCO, webMethods ou IBM MQSeries proposaient un courtier de messages central capable de router, transformer et orchestrer les échanges entre applications. Le « plat de spaghettis » cédait la place à une architecture en étoile, apparemment plus maîtrisable.</w:t>
      </w:r>
    </w:p>
    <w:p>
      <w:pPr>
        <w:spacing w:after="200" w:line="276"/>
        <w:jc w:val="both"/>
      </w:pPr>
      <w:r>
        <w:rPr>
          <w:rFonts w:ascii="Arial" w:cs="Arial" w:eastAsia="Arial" w:hAnsi="Arial"/>
          <w:sz w:val="24"/>
          <w:szCs w:val="24"/>
        </w:rPr>
        <w:t xml:space="preserve">Les bénéfices initiaux étaient réels. Le nombre de connexions passait de n×(n-1) à 2n : chaque système ne devait plus connaître que le hub central. Les transformations de données étaient centralisées, facilitant leur maintenance. La supervision des flux devenait possible depuis un point unique.</w:t>
      </w:r>
    </w:p>
    <w:p>
      <w:pPr>
        <w:spacing w:after="200" w:line="276"/>
        <w:jc w:val="both"/>
      </w:pPr>
      <w:r>
        <w:rPr>
          <w:rFonts w:ascii="Arial" w:cs="Arial" w:eastAsia="Arial" w:hAnsi="Arial"/>
          <w:sz w:val="24"/>
          <w:szCs w:val="24"/>
        </w:rPr>
        <w:t xml:space="preserve">Mais la centralisation portait en germe ses propres pathologies. Le hub devenait un point unique de défaillance : sa panne paralysait l'ensemble des échanges. Sa capacité de traitement constituait un goulot d'étranglement : les pics de charge saturaient la plateforme. Sa complexité croissait sans limite : des centaines de règles de transformation, des milliers de routes, une logique métier éparpillée dans les configurations du middleware.</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2"/>
              <w:bottom w:val="none" w:color="FFFFFF" w:sz="0"/>
              <w:right w:val="none" w:color="FFFFFF" w:sz="0"/>
            </w:tcBorders>
            <w:shd w:fill="E8F5E9" w:val="clear"/>
            <w:tcMar>
              <w:top w:type="dxa" w:w="150"/>
              <w:left w:type="dxa" w:w="200"/>
              <w:bottom w:type="dxa" w:w="150"/>
              <w:right w:type="dxa" w:w="200"/>
            </w:tcMar>
          </w:tcPr>
          <w:p>
            <w:pPr>
              <w:spacing w:after="100"/>
            </w:pPr>
            <w:r>
              <w:rPr>
                <w:rFonts w:ascii="Arial" w:cs="Arial" w:eastAsia="Arial" w:hAnsi="Arial"/>
                <w:b/>
                <w:bCs/>
                <w:color w:val="2E7D32"/>
                <w:sz w:val="22"/>
                <w:szCs w:val="22"/>
              </w:rPr>
              <w:t xml:space="preserve">Perspective stratégique</w:t>
            </w:r>
          </w:p>
          <w:p>
            <w:pPr>
              <w:spacing w:after="80"/>
            </w:pPr>
            <w:r>
              <w:rPr>
                <w:rFonts w:ascii="Arial" w:cs="Arial" w:eastAsia="Arial" w:hAnsi="Arial"/>
                <w:i/>
                <w:iCs/>
                <w:sz w:val="22"/>
                <w:szCs w:val="22"/>
              </w:rPr>
              <w:t xml:space="preserve">La centralisation de l'EAI a créé un paradoxe organisationnel. L'équipe responsable du hub est devenue le passage obligé de tout projet d'intégration, accumulant un arriéré croissant de demandes. L'agilité promise s'est transformée en bureaucratie technique, le hub devenant le nouveau goulot d'étranglement organisationnel autant que technique.</w:t>
            </w:r>
          </w:p>
        </w:tc>
      </w:tr>
    </w:tbl>
    <w:p>
      <w:pPr>
        <w:spacing w:after="200"/>
      </w:pPr>
    </w:p>
    <w:p>
      <w:pPr>
        <w:spacing w:after="200" w:line="276"/>
        <w:jc w:val="both"/>
      </w:pPr>
      <w:r>
        <w:rPr>
          <w:rFonts w:ascii="Arial" w:cs="Arial" w:eastAsia="Arial" w:hAnsi="Arial"/>
          <w:sz w:val="24"/>
          <w:szCs w:val="24"/>
        </w:rPr>
        <w:t xml:space="preserve">L'</w:t>
      </w:r>
      <w:r>
        <w:rPr>
          <w:rFonts w:ascii="Arial" w:cs="Arial" w:eastAsia="Arial" w:hAnsi="Arial"/>
          <w:b/>
          <w:bCs/>
          <w:sz w:val="24"/>
          <w:szCs w:val="24"/>
        </w:rPr>
        <w:t xml:space="preserve">Architecture Orientée Services (SOA)</w:t>
      </w:r>
      <w:r>
        <w:rPr>
          <w:rFonts w:ascii="Arial" w:cs="Arial" w:eastAsia="Arial" w:hAnsi="Arial"/>
          <w:sz w:val="24"/>
          <w:szCs w:val="24"/>
        </w:rPr>
        <w:t xml:space="preserve"> des années 2000 a tenté de corriger ces travers. L'idée fondatrice était séduisante : décomposer les fonctionnalités de l'entreprise en services réutilisables, exposés via des interfaces standardisées, orchestrables pour composer des processus métier complexes.</w:t>
      </w:r>
    </w:p>
    <w:p>
      <w:pPr>
        <w:spacing w:after="200" w:line="276"/>
        <w:jc w:val="both"/>
      </w:pPr>
      <w:r>
        <w:rPr>
          <w:rFonts w:ascii="Arial" w:cs="Arial" w:eastAsia="Arial" w:hAnsi="Arial"/>
          <w:sz w:val="24"/>
          <w:szCs w:val="24"/>
        </w:rPr>
        <w:t xml:space="preserve">L'</w:t>
      </w:r>
      <w:r>
        <w:rPr>
          <w:rFonts w:ascii="Arial" w:cs="Arial" w:eastAsia="Arial" w:hAnsi="Arial"/>
          <w:b/>
          <w:bCs/>
          <w:sz w:val="24"/>
          <w:szCs w:val="24"/>
        </w:rPr>
        <w:t xml:space="preserve">Enterprise Service Bus (ESB)</w:t>
      </w:r>
      <w:r>
        <w:rPr>
          <w:rFonts w:ascii="Arial" w:cs="Arial" w:eastAsia="Arial" w:hAnsi="Arial"/>
          <w:sz w:val="24"/>
          <w:szCs w:val="24"/>
        </w:rPr>
        <w:t xml:space="preserve"> devait être le véhicule de cette vision. Plus qu'un simple courtier de messages, l'ESB promettait la médiation intelligente : découverte dynamique des services, routage basé sur le contenu, transformation à la volée, gestion des transactions distribuées. Les standards WS-* (WS-Security, WS-ReliableMessaging, WS-Transaction) devaient assurer l'interopérabilité universelle.</w:t>
      </w:r>
    </w:p>
    <w:p>
      <w:pPr>
        <w:spacing w:after="200" w:line="276"/>
        <w:jc w:val="both"/>
      </w:pPr>
      <w:r>
        <w:rPr>
          <w:rFonts w:ascii="Arial" w:cs="Arial" w:eastAsia="Arial" w:hAnsi="Arial"/>
          <w:sz w:val="24"/>
          <w:szCs w:val="24"/>
        </w:rPr>
        <w:t xml:space="preserve">La réalité fut moins glorieuse. Les standards WS-* se sont révélés d'une complexité décourageante, leur implémentation variant significativement entre éditeurs. L'ESB, censé faciliter l'intégration, est devenu lui-même un système complexe nécessitant des compétences spécialisées rares. La promesse de réutilisation des services s'est heurtée à la réalité des besoins spécifiques : les services « génériques » ne correspondaient jamais exactement aux attentes des consommateurs.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FA2" w:sz="12"/>
              <w:bottom w:val="none" w:color="FFFFFF" w:sz="0"/>
              <w:right w:val="none" w:color="FFFFFF" w:sz="0"/>
            </w:tcBorders>
            <w:shd w:fill="F3E5F5" w:val="clear"/>
            <w:tcMar>
              <w:top w:type="dxa" w:w="150"/>
              <w:left w:type="dxa" w:w="200"/>
              <w:bottom w:type="dxa" w:w="150"/>
              <w:right w:type="dxa" w:w="200"/>
            </w:tcMar>
          </w:tcPr>
          <w:p>
            <w:pPr>
              <w:spacing w:after="100"/>
            </w:pPr>
            <w:r>
              <w:rPr>
                <w:rFonts w:ascii="Arial" w:cs="Arial" w:eastAsia="Arial" w:hAnsi="Arial"/>
                <w:b/>
                <w:bCs/>
                <w:color w:val="7B1FA2"/>
                <w:sz w:val="22"/>
                <w:szCs w:val="22"/>
              </w:rPr>
              <w:t xml:space="preserve">Exemple concret</w:t>
            </w:r>
          </w:p>
          <w:p>
            <w:pPr>
              <w:spacing w:after="80"/>
            </w:pPr>
            <w:r>
              <w:rPr>
                <w:rFonts w:ascii="Arial" w:cs="Arial" w:eastAsia="Arial" w:hAnsi="Arial"/>
                <w:i/>
                <w:iCs/>
                <w:sz w:val="22"/>
                <w:szCs w:val="22"/>
              </w:rPr>
              <w:t xml:space="preserve">Un grand détaillant canadien a investi 45 millions de dollars sur cinq ans dans une initiative SOA majeure. À son terme, l'organisation disposait d'un catalogue de 340 services. Une analyse a révélé que 78 % de ces services n'avaient qu'un seul consommateur, contredisant fondamentalement la promesse de réutilisation. L'ESB, avec ses 2 400 règles de médiation, était devenu aussi opaque que le « plat de spaghettis » qu'il prétendait remplacer.</w:t>
            </w:r>
          </w:p>
        </w:tc>
      </w:tr>
    </w:tbl>
    <w:p>
      <w:pPr>
        <w:spacing w:after="200"/>
      </w:pPr>
    </w:p>
    <w:p>
      <w:pPr>
        <w:pStyle w:val="Heading3"/>
      </w:pPr>
      <w:r>
        <w:t xml:space="preserve">I.1.1.3 La Dette Systémique : Quand les Solutions Deviennent le Problème</w:t>
      </w:r>
    </w:p>
    <w:p>
      <w:pPr>
        <w:spacing w:after="200" w:line="276"/>
        <w:jc w:val="both"/>
      </w:pPr>
      <w:r>
        <w:rPr>
          <w:rFonts w:ascii="Arial" w:cs="Arial" w:eastAsia="Arial" w:hAnsi="Arial"/>
          <w:sz w:val="24"/>
          <w:szCs w:val="24"/>
        </w:rPr>
        <w:t xml:space="preserve">L'architecture de microservices, réponse aux rigidités du SOA, illustre parfaitement ce cycle. En décomposant les applications en services fins et autonomes, déployables indépendamment, les microservices promettaient l'agilité absolue. Chaque équipe pouvait choisir ses technologies, évoluer à son rythme, déployer sans coordination globale.</w:t>
      </w:r>
    </w:p>
    <w:p>
      <w:pPr>
        <w:spacing w:after="200" w:line="276"/>
        <w:jc w:val="both"/>
      </w:pPr>
      <w:r>
        <w:rPr>
          <w:rFonts w:ascii="Arial" w:cs="Arial" w:eastAsia="Arial" w:hAnsi="Arial"/>
          <w:sz w:val="24"/>
          <w:szCs w:val="24"/>
        </w:rPr>
        <w:t xml:space="preserve">Les géants du numérique — Netflix, Amazon, Uber — ont démontré la puissance de cette approche à grande échelle. Leurs succès ont déclenché une vague d'adoption massive, souvent sans la maturité organisationnelle et technique nécessaire. Les organisations traditionnelles ont découvert que les microservices, loin de simplifier, déplaçaient la complexité vers de nouveaux territoires.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5100" w:sz="12"/>
              <w:bottom w:val="none" w:color="FFFFFF" w:sz="0"/>
              <w:right w:val="none" w:color="FFFFFF" w:sz="0"/>
            </w:tcBorders>
            <w:shd w:fill="FFF3E0" w:val="clear"/>
            <w:tcMar>
              <w:top w:type="dxa" w:w="150"/>
              <w:left w:type="dxa" w:w="200"/>
              <w:bottom w:type="dxa" w:w="150"/>
              <w:right w:type="dxa" w:w="200"/>
            </w:tcMar>
          </w:tcPr>
          <w:p>
            <w:pPr>
              <w:spacing w:after="100"/>
            </w:pPr>
            <w:r>
              <w:rPr>
                <w:rFonts w:ascii="Arial" w:cs="Arial" w:eastAsia="Arial" w:hAnsi="Arial"/>
                <w:b/>
                <w:bCs/>
                <w:color w:val="E65100"/>
                <w:sz w:val="22"/>
                <w:szCs w:val="22"/>
              </w:rPr>
              <w:t xml:space="preserve">Définition formelle</w:t>
            </w:r>
          </w:p>
          <w:p>
            <w:pPr>
              <w:spacing w:after="80"/>
            </w:pPr>
            <w:r>
              <w:rPr>
                <w:rFonts w:ascii="Arial" w:cs="Arial" w:eastAsia="Arial" w:hAnsi="Arial"/>
                <w:i/>
                <w:iCs/>
                <w:sz w:val="22"/>
                <w:szCs w:val="22"/>
              </w:rPr>
              <w:t xml:space="preserve">Dette systémique : Accumulation des compromis architecturaux, des solutions temporaires et des incohérences qui, au fil du temps, dégradent la capacité du système d'information à évoluer et augmentent exponentiellement le coût de tout changement.</w:t>
            </w:r>
          </w:p>
        </w:tc>
      </w:tr>
    </w:tbl>
    <w:p>
      <w:pPr>
        <w:spacing w:after="200"/>
      </w:pPr>
    </w:p>
    <w:p>
      <w:pPr>
        <w:spacing w:after="200" w:line="276"/>
        <w:jc w:val="both"/>
      </w:pPr>
      <w:r>
        <w:rPr>
          <w:rFonts w:ascii="Arial" w:cs="Arial" w:eastAsia="Arial" w:hAnsi="Arial"/>
          <w:sz w:val="24"/>
          <w:szCs w:val="24"/>
        </w:rPr>
        <w:t xml:space="preserve">La </w:t>
      </w:r>
      <w:r>
        <w:rPr>
          <w:rFonts w:ascii="Arial" w:cs="Arial" w:eastAsia="Arial" w:hAnsi="Arial"/>
          <w:b/>
          <w:bCs/>
          <w:sz w:val="24"/>
          <w:szCs w:val="24"/>
        </w:rPr>
        <w:t xml:space="preserve">complexité opérationnelle</w:t>
      </w:r>
      <w:r>
        <w:rPr>
          <w:rFonts w:ascii="Arial" w:cs="Arial" w:eastAsia="Arial" w:hAnsi="Arial"/>
          <w:sz w:val="24"/>
          <w:szCs w:val="24"/>
        </w:rPr>
        <w:t xml:space="preserve"> a explosé. Là où une application monolithique nécessitait quelques serveurs à superviser, une architecture de microservices en exige des centaines, voire des milliers. L'observabilité — comprendre ce qui se passe réellement en production — est devenue un défi majeur nécessitant des outils sophistiqués et des compétences nouvelles.</w:t>
      </w:r>
    </w:p>
    <w:p>
      <w:pPr>
        <w:spacing w:after="200" w:line="276"/>
        <w:jc w:val="both"/>
      </w:pPr>
      <w:r>
        <w:rPr>
          <w:rFonts w:ascii="Arial" w:cs="Arial" w:eastAsia="Arial" w:hAnsi="Arial"/>
          <w:sz w:val="24"/>
          <w:szCs w:val="24"/>
        </w:rPr>
        <w:t xml:space="preserve">La </w:t>
      </w:r>
      <w:r>
        <w:rPr>
          <w:rFonts w:ascii="Arial" w:cs="Arial" w:eastAsia="Arial" w:hAnsi="Arial"/>
          <w:b/>
          <w:bCs/>
          <w:sz w:val="24"/>
          <w:szCs w:val="24"/>
        </w:rPr>
        <w:t xml:space="preserve">cohérence des données</w:t>
      </w:r>
      <w:r>
        <w:rPr>
          <w:rFonts w:ascii="Arial" w:cs="Arial" w:eastAsia="Arial" w:hAnsi="Arial"/>
          <w:sz w:val="24"/>
          <w:szCs w:val="24"/>
        </w:rPr>
        <w:t xml:space="preserve"> s'est fragmentée. Chaque microservice gérant son propre stockage, les visions du même concept métier (client, commande, produit) divergent entre services. Les transactions distribuées, cauchemar technique, sont évitées au prix d'une cohérence « éventuelle » difficile à appréhender pour les métiers.</w:t>
      </w:r>
    </w:p>
    <w:p>
      <w:pPr>
        <w:spacing w:after="200" w:line="276"/>
        <w:jc w:val="both"/>
      </w:pPr>
      <w:r>
        <w:rPr>
          <w:rFonts w:ascii="Arial" w:cs="Arial" w:eastAsia="Arial" w:hAnsi="Arial"/>
          <w:sz w:val="24"/>
          <w:szCs w:val="24"/>
        </w:rPr>
        <w:t xml:space="preserve">La </w:t>
      </w:r>
      <w:r>
        <w:rPr>
          <w:rFonts w:ascii="Arial" w:cs="Arial" w:eastAsia="Arial" w:hAnsi="Arial"/>
          <w:b/>
          <w:bCs/>
          <w:sz w:val="24"/>
          <w:szCs w:val="24"/>
        </w:rPr>
        <w:t xml:space="preserve">gouvernance distribuée</w:t>
      </w:r>
      <w:r>
        <w:rPr>
          <w:rFonts w:ascii="Arial" w:cs="Arial" w:eastAsia="Arial" w:hAnsi="Arial"/>
          <w:sz w:val="24"/>
          <w:szCs w:val="24"/>
        </w:rPr>
        <w:t xml:space="preserve"> s'est révélée un oxymore pratique. L'autonomie des équipes, vertu cardinale des microservices, conduit à la prolifération de technologies, de pratiques et de standards incompatibles. L'organisation perd la capacité de raisonner globalement sur son système d'information.</w:t>
      </w:r>
    </w:p>
    <w:p>
      <w:pPr>
        <w:spacing w:after="200" w:line="276"/>
        <w:jc w:val="both"/>
      </w:pPr>
      <w:r>
        <w:rPr>
          <w:rFonts w:ascii="Arial" w:cs="Arial" w:eastAsia="Arial" w:hAnsi="Arial"/>
          <w:sz w:val="24"/>
          <w:szCs w:val="24"/>
        </w:rPr>
        <w:t xml:space="preserve">Le bilan de cinquante années d'intégration est donc contrasté. Chaque paradigme a apporté des avancées réelles, résolvant certains problèmes du précédent. Mais chaque paradigme a également introduit de nouvelles formes de complexité, souvent plus subtiles et plus difficiles à maîtriser. La dette systémique s'est accumulée, couche après couche, créant des systèmes d'information dont personne ne maîtrise plus la totalité.</w:t>
      </w:r>
    </w:p>
    <w:p>
      <w:r>
        <w:br w:type="page"/>
      </w:r>
    </w:p>
    <w:p>
      <w:pPr>
        <w:pStyle w:val="Heading2"/>
      </w:pPr>
      <w:r>
        <w:t xml:space="preserve">I.1.2 La Fragmentation Contemporaine du Système d'Information</w:t>
      </w:r>
    </w:p>
    <w:p>
      <w:pPr>
        <w:spacing w:after="200" w:line="276"/>
        <w:jc w:val="both"/>
      </w:pPr>
      <w:r>
        <w:rPr>
          <w:rFonts w:ascii="Arial" w:cs="Arial" w:eastAsia="Arial" w:hAnsi="Arial"/>
          <w:sz w:val="24"/>
          <w:szCs w:val="24"/>
        </w:rPr>
        <w:t xml:space="preserve">Le système d'information contemporain n'est pas le résultat d'une conception cohérente; il est le produit d'une sédimentation historique. Comme une ville construite sur les ruines de ses versions antérieures, il superpose des strates technologiques de différentes époques, chacune avec ses paradigmes, ses contraintes et ses incompatibilités.</w:t>
      </w:r>
    </w:p>
    <w:p>
      <w:pPr>
        <w:pStyle w:val="Heading3"/>
      </w:pPr>
      <w:r>
        <w:t xml:space="preserve">I.1.2.1 Le Paysage Hybride : Cohabitation du Legacy, du Cloud et du SaaS</w:t>
      </w:r>
    </w:p>
    <w:p>
      <w:pPr>
        <w:spacing w:after="200" w:line="276"/>
        <w:jc w:val="both"/>
      </w:pPr>
      <w:r>
        <w:rPr>
          <w:rFonts w:ascii="Arial" w:cs="Arial" w:eastAsia="Arial" w:hAnsi="Arial"/>
          <w:sz w:val="24"/>
          <w:szCs w:val="24"/>
        </w:rPr>
        <w:t xml:space="preserve">Le terme </w:t>
      </w:r>
      <w:r>
        <w:rPr>
          <w:rFonts w:ascii="Arial" w:cs="Arial" w:eastAsia="Arial" w:hAnsi="Arial"/>
          <w:b/>
          <w:bCs/>
          <w:sz w:val="24"/>
          <w:szCs w:val="24"/>
        </w:rPr>
        <w:t xml:space="preserve">« legacy »</w:t>
      </w:r>
      <w:r>
        <w:rPr>
          <w:rFonts w:ascii="Arial" w:cs="Arial" w:eastAsia="Arial" w:hAnsi="Arial"/>
          <w:sz w:val="24"/>
          <w:szCs w:val="24"/>
        </w:rPr>
        <w:t xml:space="preserve"> — patrimoine applicatif hérité — est souvent prononcé avec une connotation péjorative, comme si ces systèmes étaient des reliques embarrassantes à éliminer. Cette vision est dangereusement simpliste. Les systèmes patrimoniaux — mainframes, progiciels de gestion intégrés (PGI), applications développées sur mesure il y a vingt ou trente ans — constituent le cœur opérationnel de la plupart des grandes organisations.</w:t>
      </w:r>
    </w:p>
    <w:p>
      <w:pPr>
        <w:spacing w:after="200" w:line="276"/>
        <w:jc w:val="both"/>
      </w:pPr>
      <w:r>
        <w:rPr>
          <w:rFonts w:ascii="Arial" w:cs="Arial" w:eastAsia="Arial" w:hAnsi="Arial"/>
          <w:sz w:val="24"/>
          <w:szCs w:val="24"/>
        </w:rPr>
        <w:t xml:space="preserve">Ces systèmes ont survécu précisément parce qu'ils fonctionnent. Ils traitent les transactions critiques, maintiennent les données de référence, exécutent les processus métier fondamentaux. Leur remplacement, régulièrement tenté, échoue plus souvent qu'il ne réussit. Les grands projets de refonte complète du système d'information comptent parmi les échecs les plus coûteux de l'histoire de l'informatique d'entreprise.</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2"/>
              <w:bottom w:val="none" w:color="FFFFFF" w:sz="0"/>
              <w:right w:val="none" w:color="FFFFFF" w:sz="0"/>
            </w:tcBorders>
            <w:shd w:fill="E8F5E9" w:val="clear"/>
            <w:tcMar>
              <w:top w:type="dxa" w:w="150"/>
              <w:left w:type="dxa" w:w="200"/>
              <w:bottom w:type="dxa" w:w="150"/>
              <w:right w:type="dxa" w:w="200"/>
            </w:tcMar>
          </w:tcPr>
          <w:p>
            <w:pPr>
              <w:spacing w:after="100"/>
            </w:pPr>
            <w:r>
              <w:rPr>
                <w:rFonts w:ascii="Arial" w:cs="Arial" w:eastAsia="Arial" w:hAnsi="Arial"/>
                <w:b/>
                <w:bCs/>
                <w:color w:val="2E7D32"/>
                <w:sz w:val="22"/>
                <w:szCs w:val="22"/>
              </w:rPr>
              <w:t xml:space="preserve">Perspective stratégique</w:t>
            </w:r>
          </w:p>
          <w:p>
            <w:pPr>
              <w:spacing w:after="80"/>
            </w:pPr>
            <w:r>
              <w:rPr>
                <w:rFonts w:ascii="Arial" w:cs="Arial" w:eastAsia="Arial" w:hAnsi="Arial"/>
                <w:i/>
                <w:iCs/>
                <w:sz w:val="22"/>
                <w:szCs w:val="22"/>
              </w:rPr>
              <w:t xml:space="preserve">Le Standish Group estime que les projets de remplacement de systèmes patrimoniaux majeurs échouent dans 70 % des cas, avec un dépassement budgétaire moyen de 189 %. Ces statistiques suggèrent que la stratégie de « rip and replace » est rarement optimale. L'enjeu n'est pas d'éliminer le legacy mais d'apprendre à coexister intelligemment avec lui.</w:t>
            </w:r>
          </w:p>
        </w:tc>
      </w:tr>
    </w:tbl>
    <w:p>
      <w:pPr>
        <w:spacing w:after="200"/>
      </w:pPr>
    </w:p>
    <w:p>
      <w:pPr>
        <w:spacing w:after="200" w:line="276"/>
        <w:jc w:val="both"/>
      </w:pPr>
      <w:r>
        <w:rPr>
          <w:rFonts w:ascii="Arial" w:cs="Arial" w:eastAsia="Arial" w:hAnsi="Arial"/>
          <w:sz w:val="24"/>
          <w:szCs w:val="24"/>
        </w:rPr>
        <w:t xml:space="preserve">Parallèlement, l'</w:t>
      </w:r>
      <w:r>
        <w:rPr>
          <w:rFonts w:ascii="Arial" w:cs="Arial" w:eastAsia="Arial" w:hAnsi="Arial"/>
          <w:b/>
          <w:bCs/>
          <w:sz w:val="24"/>
          <w:szCs w:val="24"/>
        </w:rPr>
        <w:t xml:space="preserve">infonuagique</w:t>
      </w:r>
      <w:r>
        <w:rPr>
          <w:rFonts w:ascii="Arial" w:cs="Arial" w:eastAsia="Arial" w:hAnsi="Arial"/>
          <w:sz w:val="24"/>
          <w:szCs w:val="24"/>
        </w:rPr>
        <w:t xml:space="preserve"> (cloud computing) a transformé les possibilités d'infrastructure. Les services d'Amazon Web Services, Microsoft Azure ou Google Cloud Platform offrent une élasticité, une scalabilité et une richesse fonctionnelle inaccessibles aux centres de données traditionnels. Les nouvelles applications naissent « cloud-native », conçues pour exploiter ces capacités.</w:t>
      </w:r>
    </w:p>
    <w:p>
      <w:pPr>
        <w:spacing w:after="200" w:line="276"/>
        <w:jc w:val="both"/>
      </w:pPr>
      <w:r>
        <w:rPr>
          <w:rFonts w:ascii="Arial" w:cs="Arial" w:eastAsia="Arial" w:hAnsi="Arial"/>
          <w:sz w:val="24"/>
          <w:szCs w:val="24"/>
        </w:rPr>
        <w:t xml:space="preserve">Le modèle </w:t>
      </w:r>
      <w:r>
        <w:rPr>
          <w:rFonts w:ascii="Arial" w:cs="Arial" w:eastAsia="Arial" w:hAnsi="Arial"/>
          <w:b/>
          <w:bCs/>
          <w:sz w:val="24"/>
          <w:szCs w:val="24"/>
        </w:rPr>
        <w:t xml:space="preserve">SaaS</w:t>
      </w:r>
      <w:r>
        <w:rPr>
          <w:rFonts w:ascii="Arial" w:cs="Arial" w:eastAsia="Arial" w:hAnsi="Arial"/>
          <w:sz w:val="24"/>
          <w:szCs w:val="24"/>
        </w:rPr>
        <w:t xml:space="preserve"> (Software as a Service) ajoute une troisième dimension. Des fonctions entières — gestion de la relation client, ressources humaines, collaboration — sont désormais consommées comme services externes. Salesforce, Workday, Microsoft 365 ne sont pas des logiciels installés dans l'infrastructure de l'entreprise; ce sont des plateformes distantes auxquelles l'organisation se connecte.</w:t>
      </w:r>
    </w:p>
    <w:p>
      <w:pPr>
        <w:spacing w:after="200" w:line="276"/>
        <w:jc w:val="both"/>
      </w:pPr>
      <w:r>
        <w:rPr>
          <w:rFonts w:ascii="Arial" w:cs="Arial" w:eastAsia="Arial" w:hAnsi="Arial"/>
          <w:sz w:val="24"/>
          <w:szCs w:val="24"/>
        </w:rPr>
        <w:t xml:space="preserve">Cette cohabitation engendre des tensions architecturales profondes. Les systèmes patrimoniaux fonctionnent en mode batch, traitant les données par lots selon des cycles nocturnes ou hebdomadaires. Les applications cloud-native opèrent en temps réel, attendant des réponses en millisecondes. Les plateformes SaaS imposent leurs propres modèles de données, leurs propres API, leurs propres rythmes de mise à jour.</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FA2" w:sz="12"/>
              <w:bottom w:val="none" w:color="FFFFFF" w:sz="0"/>
              <w:right w:val="none" w:color="FFFFFF" w:sz="0"/>
            </w:tcBorders>
            <w:shd w:fill="F3E5F5" w:val="clear"/>
            <w:tcMar>
              <w:top w:type="dxa" w:w="150"/>
              <w:left w:type="dxa" w:w="200"/>
              <w:bottom w:type="dxa" w:w="150"/>
              <w:right w:type="dxa" w:w="200"/>
            </w:tcMar>
          </w:tcPr>
          <w:p>
            <w:pPr>
              <w:spacing w:after="100"/>
            </w:pPr>
            <w:r>
              <w:rPr>
                <w:rFonts w:ascii="Arial" w:cs="Arial" w:eastAsia="Arial" w:hAnsi="Arial"/>
                <w:b/>
                <w:bCs/>
                <w:color w:val="7B1FA2"/>
                <w:sz w:val="22"/>
                <w:szCs w:val="22"/>
              </w:rPr>
              <w:t xml:space="preserve">Exemple concret</w:t>
            </w:r>
          </w:p>
          <w:p>
            <w:pPr>
              <w:spacing w:after="80"/>
            </w:pPr>
            <w:r>
              <w:rPr>
                <w:rFonts w:ascii="Arial" w:cs="Arial" w:eastAsia="Arial" w:hAnsi="Arial"/>
                <w:i/>
                <w:iCs/>
                <w:sz w:val="22"/>
                <w:szCs w:val="22"/>
              </w:rPr>
              <w:t xml:space="preserve">Une banque canadienne majeure opère simultanément : un mainframe IBM z/Series traitant 12 millions de transactions quotidiennes; 340 applications Java/J2EE hébergées dans des centres de données privés; 85 services déployés sur AWS et Azure; 23 solutions SaaS incluant Salesforce, ServiceNow et Workday. L'intégration de ces quatre mondes mobilise 180 personnes à temps plein et représente 40 % du budget informatique annuel.</w:t>
            </w:r>
          </w:p>
        </w:tc>
      </w:tr>
    </w:tbl>
    <w:p>
      <w:pPr>
        <w:spacing w:after="200"/>
      </w:pPr>
    </w:p>
    <w:p>
      <w:pPr>
        <w:pStyle w:val="Heading3"/>
      </w:pPr>
      <w:r>
        <w:t xml:space="preserve">I.1.2.2 La Nouvelle Frontière : La Collision des Mondes TI et TO</w:t>
      </w:r>
    </w:p>
    <w:p>
      <w:pPr>
        <w:spacing w:after="200" w:line="276"/>
        <w:jc w:val="both"/>
      </w:pPr>
      <w:r>
        <w:rPr>
          <w:rFonts w:ascii="Arial" w:cs="Arial" w:eastAsia="Arial" w:hAnsi="Arial"/>
          <w:sz w:val="24"/>
          <w:szCs w:val="24"/>
        </w:rPr>
        <w:t xml:space="preserve">Une fracture longtemps ignorée s'impose désormais à l'attention des architectes : celle séparant les </w:t>
      </w:r>
      <w:r>
        <w:rPr>
          <w:rFonts w:ascii="Arial" w:cs="Arial" w:eastAsia="Arial" w:hAnsi="Arial"/>
          <w:b/>
          <w:bCs/>
          <w:sz w:val="24"/>
          <w:szCs w:val="24"/>
        </w:rPr>
        <w:t xml:space="preserve">Technologies de l'Information (TI)</w:t>
      </w:r>
      <w:r>
        <w:rPr>
          <w:rFonts w:ascii="Arial" w:cs="Arial" w:eastAsia="Arial" w:hAnsi="Arial"/>
          <w:sz w:val="24"/>
          <w:szCs w:val="24"/>
        </w:rPr>
        <w:t xml:space="preserve"> des </w:t>
      </w:r>
      <w:r>
        <w:rPr>
          <w:rFonts w:ascii="Arial" w:cs="Arial" w:eastAsia="Arial" w:hAnsi="Arial"/>
          <w:b/>
          <w:bCs/>
          <w:sz w:val="24"/>
          <w:szCs w:val="24"/>
        </w:rPr>
        <w:t xml:space="preserve">Technologies Opérationnelles (TO)</w:t>
      </w:r>
      <w:r>
        <w:rPr>
          <w:rFonts w:ascii="Arial" w:cs="Arial" w:eastAsia="Arial" w:hAnsi="Arial"/>
          <w:sz w:val="24"/>
          <w:szCs w:val="24"/>
        </w:rPr>
        <w:t xml:space="preserve">. Ces deux univers, historiquement étanches, convergent sous la pression de la transformation numérique.</w:t>
      </w:r>
    </w:p>
    <w:p>
      <w:pPr>
        <w:spacing w:after="200" w:line="276"/>
        <w:jc w:val="both"/>
      </w:pPr>
      <w:r>
        <w:rPr>
          <w:rFonts w:ascii="Arial" w:cs="Arial" w:eastAsia="Arial" w:hAnsi="Arial"/>
          <w:sz w:val="24"/>
          <w:szCs w:val="24"/>
        </w:rPr>
        <w:t xml:space="preserve">Les TI englobent les systèmes traditionnels de gestion : ERP, CRM, applications métier, bureautique. Leur finalité est le traitement de l'information, la prise de décision, la coordination des activités humaines. Elles opèrent à des échelles de temps humaines — secondes, minutes, heures — et tolèrent généralement une certaine latence.</w:t>
      </w:r>
    </w:p>
    <w:p>
      <w:pPr>
        <w:spacing w:after="200" w:line="276"/>
        <w:jc w:val="both"/>
      </w:pPr>
      <w:r>
        <w:rPr>
          <w:rFonts w:ascii="Arial" w:cs="Arial" w:eastAsia="Arial" w:hAnsi="Arial"/>
          <w:sz w:val="24"/>
          <w:szCs w:val="24"/>
        </w:rPr>
        <w:t xml:space="preserve">Les TO désignent les systèmes de contrôle industriel : automates programmables, systèmes SCADA, capteurs et actionneurs. Leur finalité est l'interaction avec le monde physique — contrôler une chaîne de production, gérer un réseau électrique, piloter une flotte de véhicules. Elles opèrent à des échelles de temps machine — millisecondes, microsecondes — et exigent souvent des garanties temps réel strictes.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5100" w:sz="12"/>
              <w:bottom w:val="none" w:color="FFFFFF" w:sz="0"/>
              <w:right w:val="none" w:color="FFFFFF" w:sz="0"/>
            </w:tcBorders>
            <w:shd w:fill="FFF3E0" w:val="clear"/>
            <w:tcMar>
              <w:top w:type="dxa" w:w="150"/>
              <w:left w:type="dxa" w:w="200"/>
              <w:bottom w:type="dxa" w:w="150"/>
              <w:right w:type="dxa" w:w="200"/>
            </w:tcMar>
          </w:tcPr>
          <w:p>
            <w:pPr>
              <w:spacing w:after="100"/>
            </w:pPr>
            <w:r>
              <w:rPr>
                <w:rFonts w:ascii="Arial" w:cs="Arial" w:eastAsia="Arial" w:hAnsi="Arial"/>
                <w:b/>
                <w:bCs/>
                <w:color w:val="E65100"/>
                <w:sz w:val="22"/>
                <w:szCs w:val="22"/>
              </w:rPr>
              <w:t xml:space="preserve">Définition formelle</w:t>
            </w:r>
          </w:p>
          <w:p>
            <w:pPr>
              <w:spacing w:after="80"/>
            </w:pPr>
            <w:r>
              <w:rPr>
                <w:rFonts w:ascii="Arial" w:cs="Arial" w:eastAsia="Arial" w:hAnsi="Arial"/>
                <w:i/>
                <w:iCs/>
                <w:sz w:val="22"/>
                <w:szCs w:val="22"/>
              </w:rPr>
              <w:t xml:space="preserve">Convergence TI/TO : Processus d'intégration des systèmes de gestion de l'information (TI) et des systèmes de contrôle opérationnel (TO), permettant une vision unifiée et une optimisation globale des opérations de l'entreprise, mais créant des défis majeurs de sécurité, de performance et de gouvernance.</w:t>
            </w:r>
          </w:p>
        </w:tc>
      </w:tr>
    </w:tbl>
    <w:p>
      <w:pPr>
        <w:spacing w:after="200"/>
      </w:pPr>
    </w:p>
    <w:p>
      <w:pPr>
        <w:spacing w:after="200" w:line="276"/>
        <w:jc w:val="both"/>
      </w:pPr>
      <w:r>
        <w:rPr>
          <w:rFonts w:ascii="Arial" w:cs="Arial" w:eastAsia="Arial" w:hAnsi="Arial"/>
          <w:sz w:val="24"/>
          <w:szCs w:val="24"/>
        </w:rPr>
        <w:t xml:space="preserve">L'</w:t>
      </w:r>
      <w:r>
        <w:rPr>
          <w:rFonts w:ascii="Arial" w:cs="Arial" w:eastAsia="Arial" w:hAnsi="Arial"/>
          <w:b/>
          <w:bCs/>
          <w:sz w:val="24"/>
          <w:szCs w:val="24"/>
        </w:rPr>
        <w:t xml:space="preserve">Internet des Objets (IdO)</w:t>
      </w:r>
      <w:r>
        <w:rPr>
          <w:rFonts w:ascii="Arial" w:cs="Arial" w:eastAsia="Arial" w:hAnsi="Arial"/>
          <w:sz w:val="24"/>
          <w:szCs w:val="24"/>
        </w:rPr>
        <w:t xml:space="preserve"> industriel accélère cette convergence. Les équipements de production deviennent communicants, générant des flux de données considérables. Les véhicules, les bâtiments, les infrastructures urbaines se bardent de capteurs. Cette « datafication » du monde physique crée une pression d'intégration sans précédent.</w:t>
      </w:r>
    </w:p>
    <w:p>
      <w:pPr>
        <w:spacing w:after="200" w:line="276"/>
        <w:jc w:val="both"/>
      </w:pPr>
      <w:r>
        <w:rPr>
          <w:rFonts w:ascii="Arial" w:cs="Arial" w:eastAsia="Arial" w:hAnsi="Arial"/>
          <w:sz w:val="24"/>
          <w:szCs w:val="24"/>
        </w:rPr>
        <w:t xml:space="preserve">Mais les cultures et les contraintes de ces deux mondes sont fondamentalement différentes. Les TI privilégient la flexibilité et l'évolutivité; les TO exigent la stabilité et la prévisibilité. Les TI acceptent les mises à jour fréquentes; les TO fonctionnent parfois pendant des décennies sans modification. Les TI gèrent des données structurées; les TO produisent des flux de télémétrie massifs et continus.</w:t>
      </w:r>
    </w:p>
    <w:p>
      <w:pPr>
        <w:spacing w:after="200" w:line="276"/>
        <w:jc w:val="both"/>
      </w:pPr>
      <w:r>
        <w:rPr>
          <w:rFonts w:ascii="Arial" w:cs="Arial" w:eastAsia="Arial" w:hAnsi="Arial"/>
          <w:sz w:val="24"/>
          <w:szCs w:val="24"/>
        </w:rPr>
        <w:t xml:space="preserve">Les enjeux de sécurité illustrent cette tension. Un système TI compromis expose des données; un système TO compromis peut causer des dommages physiques, voire mettre des vies en danger. L'interconnexion des deux mondes étend la surface d'attaque et nécessite des approches de sécurité hybrides que peu d'organisations maîtrisent.</w:t>
      </w:r>
    </w:p>
    <w:p>
      <w:pPr>
        <w:pStyle w:val="Heading3"/>
      </w:pPr>
      <w:r>
        <w:t xml:space="preserve">I.1.2.3 L'Accélération Temporelle : Du Big Data au Fast Data</w:t>
      </w:r>
    </w:p>
    <w:p>
      <w:pPr>
        <w:spacing w:after="200" w:line="276"/>
        <w:jc w:val="both"/>
      </w:pPr>
      <w:r>
        <w:rPr>
          <w:rFonts w:ascii="Arial" w:cs="Arial" w:eastAsia="Arial" w:hAnsi="Arial"/>
          <w:sz w:val="24"/>
          <w:szCs w:val="24"/>
        </w:rPr>
        <w:t xml:space="preserve">La transformation la plus profonde concerne peut-être le rapport au temps. Pendant des décennies, les systèmes d'information ont fonctionné selon une temporalité différée. Les données étaient collectées pendant la journée, consolidées la nuit, analysées le lendemain. Les décisions s'appuyaient sur des rapports hebdomadaires ou mensuels. Ce rythme correspondait aux capacités techniques et aux besoins métier de l'époque.</w:t>
      </w:r>
    </w:p>
    <w:p>
      <w:pPr>
        <w:spacing w:after="200" w:line="276"/>
        <w:jc w:val="both"/>
      </w:pPr>
      <w:r>
        <w:rPr>
          <w:rFonts w:ascii="Arial" w:cs="Arial" w:eastAsia="Arial" w:hAnsi="Arial"/>
          <w:sz w:val="24"/>
          <w:szCs w:val="24"/>
        </w:rPr>
        <w:t xml:space="preserve">L'ère du </w:t>
      </w:r>
      <w:r>
        <w:rPr>
          <w:rFonts w:ascii="Arial" w:cs="Arial" w:eastAsia="Arial" w:hAnsi="Arial"/>
          <w:b/>
          <w:bCs/>
          <w:sz w:val="24"/>
          <w:szCs w:val="24"/>
        </w:rPr>
        <w:t xml:space="preserve">Big Data</w:t>
      </w:r>
      <w:r>
        <w:rPr>
          <w:rFonts w:ascii="Arial" w:cs="Arial" w:eastAsia="Arial" w:hAnsi="Arial"/>
          <w:sz w:val="24"/>
          <w:szCs w:val="24"/>
        </w:rPr>
        <w:t xml:space="preserve">, à partir des années 2010, a d'abord mis l'accent sur le volume. Les technologies comme Hadoop permettaient de stocker et d'analyser des quantités de données auparavant impensables. Mais le paradigme restait fondamentalement « batch » : on accumulait les données dans un lac (data lake), puis on les analysait périodiquement.</w:t>
      </w:r>
    </w:p>
    <w:p>
      <w:pPr>
        <w:spacing w:after="200" w:line="276"/>
        <w:jc w:val="both"/>
      </w:pPr>
      <w:r>
        <w:rPr>
          <w:rFonts w:ascii="Arial" w:cs="Arial" w:eastAsia="Arial" w:hAnsi="Arial"/>
          <w:sz w:val="24"/>
          <w:szCs w:val="24"/>
        </w:rPr>
        <w:t xml:space="preserve">Le basculement vers le </w:t>
      </w:r>
      <w:r>
        <w:rPr>
          <w:rFonts w:ascii="Arial" w:cs="Arial" w:eastAsia="Arial" w:hAnsi="Arial"/>
          <w:b/>
          <w:bCs/>
          <w:sz w:val="24"/>
          <w:szCs w:val="24"/>
        </w:rPr>
        <w:t xml:space="preserve">Fast Data</w:t>
      </w:r>
      <w:r>
        <w:rPr>
          <w:rFonts w:ascii="Arial" w:cs="Arial" w:eastAsia="Arial" w:hAnsi="Arial"/>
          <w:sz w:val="24"/>
          <w:szCs w:val="24"/>
        </w:rPr>
        <w:t xml:space="preserve"> — ou traitement des données en temps réel — change radicalement la donne. L'enjeu n'est plus seulement de stocker et d'analyser, mais de réagir instantanément. Détecter une fraude pendant qu'elle se produit, pas après. Personnaliser une offre au moment où le client navigue, pas lors de sa prochaine visite. Ajuster la production en fonction de la demande réelle, pas des prévisions de la veille.</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5100" w:sz="12"/>
              <w:bottom w:val="none" w:color="FFFFFF" w:sz="0"/>
              <w:right w:val="none" w:color="FFFFFF" w:sz="0"/>
            </w:tcBorders>
            <w:shd w:fill="FFF3E0" w:val="clear"/>
            <w:tcMar>
              <w:top w:type="dxa" w:w="150"/>
              <w:left w:type="dxa" w:w="200"/>
              <w:bottom w:type="dxa" w:w="150"/>
              <w:right w:type="dxa" w:w="200"/>
            </w:tcMar>
          </w:tcPr>
          <w:p>
            <w:pPr>
              <w:spacing w:after="100"/>
            </w:pPr>
            <w:r>
              <w:rPr>
                <w:rFonts w:ascii="Arial" w:cs="Arial" w:eastAsia="Arial" w:hAnsi="Arial"/>
                <w:b/>
                <w:bCs/>
                <w:color w:val="E65100"/>
                <w:sz w:val="22"/>
                <w:szCs w:val="22"/>
              </w:rPr>
              <w:t xml:space="preserve">Définition formelle</w:t>
            </w:r>
          </w:p>
          <w:p>
            <w:pPr>
              <w:spacing w:after="80"/>
            </w:pPr>
            <w:r>
              <w:rPr>
                <w:rFonts w:ascii="Arial" w:cs="Arial" w:eastAsia="Arial" w:hAnsi="Arial"/>
                <w:i/>
                <w:iCs/>
                <w:sz w:val="22"/>
                <w:szCs w:val="22"/>
              </w:rPr>
              <w:t xml:space="preserve">Fast Data : Paradigme de traitement de l'information privilégiant la latence minimale et la réaction en temps réel aux événements, par opposition au traitement par lots (batch) différé. Les architectures Fast Data s'appuient typiquement sur le streaming d'événements et le traitement de flux (stream processing).</w:t>
            </w:r>
          </w:p>
        </w:tc>
      </w:tr>
    </w:tbl>
    <w:p>
      <w:pPr>
        <w:spacing w:after="200"/>
      </w:pPr>
    </w:p>
    <w:p>
      <w:pPr>
        <w:spacing w:after="200" w:line="276"/>
        <w:jc w:val="both"/>
      </w:pPr>
      <w:r>
        <w:rPr>
          <w:rFonts w:ascii="Arial" w:cs="Arial" w:eastAsia="Arial" w:hAnsi="Arial"/>
          <w:sz w:val="24"/>
          <w:szCs w:val="24"/>
        </w:rPr>
        <w:t xml:space="preserve">Cette accélération temporelle crée une fracture avec les systèmes patrimoniaux, intrinsèquement conçus pour le traitement différé. Le mainframe qui consolide les comptes bancaires chaque nuit ne peut pas fournir un solde en temps réel au client qui utilise son application mobile. Le PGI qui calcule les coûts de production hebdomadairement ne peut pas alimenter un tableau de bord opérationnel actualisé à la minute.</w:t>
      </w:r>
    </w:p>
    <w:p>
      <w:pPr>
        <w:spacing w:after="200" w:line="276"/>
        <w:jc w:val="both"/>
      </w:pPr>
      <w:r>
        <w:rPr>
          <w:rFonts w:ascii="Arial" w:cs="Arial" w:eastAsia="Arial" w:hAnsi="Arial"/>
          <w:sz w:val="24"/>
          <w:szCs w:val="24"/>
        </w:rPr>
        <w:t xml:space="preserve">Les architectures hybrides tentent de réconcilier ces temporalités. Des couches de cache et d'événements viennent « accélérer » les systèmes patrimoniaux, créant une illusion de temps réel. Mais ces adaptations ajoutent de la complexité et des sources potentielles d'incohérence. La donnée « temps réel » n'est souvent qu'une approximation de la donnée « officielle » du système source.</w:t>
      </w:r>
    </w:p>
    <w:p>
      <w:r>
        <w:br w:type="page"/>
      </w:r>
    </w:p>
    <w:p>
      <w:pPr>
        <w:pStyle w:val="Heading2"/>
      </w:pPr>
      <w:r>
        <w:t xml:space="preserve">I.1.3 La Dimension Humaine de la Crise : Dette Cognitive et Épuisement Organisationnel</w:t>
      </w:r>
    </w:p>
    <w:p>
      <w:pPr>
        <w:spacing w:after="200" w:line="276"/>
        <w:jc w:val="both"/>
      </w:pPr>
      <w:r>
        <w:rPr>
          <w:rFonts w:ascii="Arial" w:cs="Arial" w:eastAsia="Arial" w:hAnsi="Arial"/>
          <w:sz w:val="24"/>
          <w:szCs w:val="24"/>
        </w:rPr>
        <w:t xml:space="preserve">Les analyses de la crise de l'intégration se concentrent généralement sur les dimensions techniques : architectures inadaptées, technologies obsolètes, standards incompatibles. Cette focalisation occulte une dimension au moins aussi critique : l'impact sur les êtres humains qui conçoivent, développent et opèrent ces systèmes.</w:t>
      </w:r>
    </w:p>
    <w:p>
      <w:pPr>
        <w:pStyle w:val="Heading3"/>
      </w:pPr>
      <w:r>
        <w:t xml:space="preserve">I.1.3.1 Au-delà de la Dette Technique : L'Émergence de la Dette Cognitive</w:t>
      </w:r>
    </w:p>
    <w:p>
      <w:pPr>
        <w:spacing w:after="200" w:line="276"/>
        <w:jc w:val="both"/>
      </w:pPr>
      <w:r>
        <w:rPr>
          <w:rFonts w:ascii="Arial" w:cs="Arial" w:eastAsia="Arial" w:hAnsi="Arial"/>
          <w:sz w:val="24"/>
          <w:szCs w:val="24"/>
        </w:rPr>
        <w:t xml:space="preserve">La notion de </w:t>
      </w:r>
      <w:r>
        <w:rPr>
          <w:rFonts w:ascii="Arial" w:cs="Arial" w:eastAsia="Arial" w:hAnsi="Arial"/>
          <w:b/>
          <w:bCs/>
          <w:sz w:val="24"/>
          <w:szCs w:val="24"/>
        </w:rPr>
        <w:t xml:space="preserve">dette technique</w:t>
      </w:r>
      <w:r>
        <w:rPr>
          <w:rFonts w:ascii="Arial" w:cs="Arial" w:eastAsia="Arial" w:hAnsi="Arial"/>
          <w:sz w:val="24"/>
          <w:szCs w:val="24"/>
        </w:rPr>
        <w:t xml:space="preserve">, popularisée par Ward Cunningham, désigne les compromis de conception qui accélèrent le développement à court terme mais compliquent la maintenance future. Un code mal structuré, une documentation absente, des tests insuffisants constituent une dette qu'il faudra « rembourser » par un effort de refactorisation.</w:t>
      </w:r>
    </w:p>
    <w:p>
      <w:pPr>
        <w:spacing w:after="200" w:line="276"/>
        <w:jc w:val="both"/>
      </w:pPr>
      <w:r>
        <w:rPr>
          <w:rFonts w:ascii="Arial" w:cs="Arial" w:eastAsia="Arial" w:hAnsi="Arial"/>
          <w:sz w:val="24"/>
          <w:szCs w:val="24"/>
        </w:rPr>
        <w:t xml:space="preserve">La </w:t>
      </w:r>
      <w:r>
        <w:rPr>
          <w:rFonts w:ascii="Arial" w:cs="Arial" w:eastAsia="Arial" w:hAnsi="Arial"/>
          <w:b/>
          <w:bCs/>
          <w:sz w:val="24"/>
          <w:szCs w:val="24"/>
        </w:rPr>
        <w:t xml:space="preserve">dette cognitive</w:t>
      </w:r>
      <w:r>
        <w:rPr>
          <w:rFonts w:ascii="Arial" w:cs="Arial" w:eastAsia="Arial" w:hAnsi="Arial"/>
          <w:sz w:val="24"/>
          <w:szCs w:val="24"/>
        </w:rPr>
        <w:t xml:space="preserve"> est un concept distinct et plus insidieux. Elle désigne l'accumulation de connaissance implicite, non documentée et fragmentée, nécessaire pour comprendre et faire fonctionner le système d'information. Cette connaissance réside dans les esprits de quelques experts, dans des notes personnelles, dans des configurations obscures que personne n'a pris le temps d'expliquer.</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5100" w:sz="12"/>
              <w:bottom w:val="none" w:color="FFFFFF" w:sz="0"/>
              <w:right w:val="none" w:color="FFFFFF" w:sz="0"/>
            </w:tcBorders>
            <w:shd w:fill="FFF3E0" w:val="clear"/>
            <w:tcMar>
              <w:top w:type="dxa" w:w="150"/>
              <w:left w:type="dxa" w:w="200"/>
              <w:bottom w:type="dxa" w:w="150"/>
              <w:right w:type="dxa" w:w="200"/>
            </w:tcMar>
          </w:tcPr>
          <w:p>
            <w:pPr>
              <w:spacing w:after="100"/>
            </w:pPr>
            <w:r>
              <w:rPr>
                <w:rFonts w:ascii="Arial" w:cs="Arial" w:eastAsia="Arial" w:hAnsi="Arial"/>
                <w:b/>
                <w:bCs/>
                <w:color w:val="E65100"/>
                <w:sz w:val="22"/>
                <w:szCs w:val="22"/>
              </w:rPr>
              <w:t xml:space="preserve">Définition formelle</w:t>
            </w:r>
          </w:p>
          <w:p>
            <w:pPr>
              <w:spacing w:after="80"/>
            </w:pPr>
            <w:r>
              <w:rPr>
                <w:rFonts w:ascii="Arial" w:cs="Arial" w:eastAsia="Arial" w:hAnsi="Arial"/>
                <w:i/>
                <w:iCs/>
                <w:sz w:val="22"/>
                <w:szCs w:val="22"/>
              </w:rPr>
              <w:t xml:space="preserve">Dette cognitive : Accumulation du savoir tacite, des règles implicites et des dépendances cachées au sein d'un système d'information, rendant sa compréhension globale impossible sans recours à des experts détenteurs de cette connaissance non formalisée.</w:t>
            </w:r>
          </w:p>
        </w:tc>
      </w:tr>
    </w:tbl>
    <w:p>
      <w:pPr>
        <w:spacing w:after="200"/>
      </w:pPr>
    </w:p>
    <w:p>
      <w:pPr>
        <w:spacing w:after="200" w:line="276"/>
        <w:jc w:val="both"/>
      </w:pPr>
      <w:r>
        <w:rPr>
          <w:rFonts w:ascii="Arial" w:cs="Arial" w:eastAsia="Arial" w:hAnsi="Arial"/>
          <w:sz w:val="24"/>
          <w:szCs w:val="24"/>
        </w:rPr>
        <w:t xml:space="preserve">La dette cognitive est particulièrement élevée dans les systèmes d'intégration. Les transformations de données entre systèmes encodent des règles métier subtiles. Les séquencements de traitements reflètent des contraintes historiques oubliées. Les contournements mis en place pour « faire fonctionner » des systèmes incompatibles deviennent des dépendances critiques que personne n'ose toucher.</w:t>
      </w:r>
    </w:p>
    <w:p>
      <w:pPr>
        <w:spacing w:after="200" w:line="276"/>
        <w:jc w:val="both"/>
      </w:pPr>
      <w:r>
        <w:rPr>
          <w:rFonts w:ascii="Arial" w:cs="Arial" w:eastAsia="Arial" w:hAnsi="Arial"/>
          <w:sz w:val="24"/>
          <w:szCs w:val="24"/>
        </w:rPr>
        <w:t xml:space="preserve">Les départs à la retraite des experts seniors constituent une hémorragie de capital cognitif. Un architecte qui quitte l'organisation après trente ans emporte avec lui la compréhension de dizaines d'interfaces, de centaines de règles de transformation, de milliers de décisions de conception jamais documentées. La transmission de ce savoir, rarement anticipée, s'avère souvent impossible à réaliser dans les délais impartis.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FA2" w:sz="12"/>
              <w:bottom w:val="none" w:color="FFFFFF" w:sz="0"/>
              <w:right w:val="none" w:color="FFFFFF" w:sz="0"/>
            </w:tcBorders>
            <w:shd w:fill="F3E5F5" w:val="clear"/>
            <w:tcMar>
              <w:top w:type="dxa" w:w="150"/>
              <w:left w:type="dxa" w:w="200"/>
              <w:bottom w:type="dxa" w:w="150"/>
              <w:right w:type="dxa" w:w="200"/>
            </w:tcMar>
          </w:tcPr>
          <w:p>
            <w:pPr>
              <w:spacing w:after="100"/>
            </w:pPr>
            <w:r>
              <w:rPr>
                <w:rFonts w:ascii="Arial" w:cs="Arial" w:eastAsia="Arial" w:hAnsi="Arial"/>
                <w:b/>
                <w:bCs/>
                <w:color w:val="7B1FA2"/>
                <w:sz w:val="22"/>
                <w:szCs w:val="22"/>
              </w:rPr>
              <w:t xml:space="preserve">Exemple concret</w:t>
            </w:r>
          </w:p>
          <w:p>
            <w:pPr>
              <w:spacing w:after="80"/>
            </w:pPr>
            <w:r>
              <w:rPr>
                <w:rFonts w:ascii="Arial" w:cs="Arial" w:eastAsia="Arial" w:hAnsi="Arial"/>
                <w:i/>
                <w:iCs/>
                <w:sz w:val="22"/>
                <w:szCs w:val="22"/>
              </w:rPr>
              <w:t xml:space="preserve">Une société d'État québécoise a perdu en trois ans sept de ses douze experts seniors en intégration, partis à la retraite. L'analyse post-mortem d'un incident majeur a révélé que le processus défaillant reposait sur une logique de compensation connue d'un seul de ces experts. Aucune documentation n'existait. La résolution a nécessité quatre mois d'archéologie applicative, mobilisant une équipe de huit personnes.</w:t>
            </w:r>
          </w:p>
        </w:tc>
      </w:tr>
    </w:tbl>
    <w:p>
      <w:pPr>
        <w:spacing w:after="200"/>
      </w:pPr>
    </w:p>
    <w:p>
      <w:pPr>
        <w:pStyle w:val="Heading3"/>
      </w:pPr>
      <w:r>
        <w:t xml:space="preserve">I.1.3.2 L'Épuisement des Ingénieurs : Le Burnout comme Symptôme Architectural</w:t>
      </w:r>
    </w:p>
    <w:p>
      <w:pPr>
        <w:spacing w:after="200" w:line="276"/>
        <w:jc w:val="both"/>
      </w:pPr>
      <w:r>
        <w:rPr>
          <w:rFonts w:ascii="Arial" w:cs="Arial" w:eastAsia="Arial" w:hAnsi="Arial"/>
          <w:sz w:val="24"/>
          <w:szCs w:val="24"/>
        </w:rPr>
        <w:t xml:space="preserve">L'épuisement professionnel (burnout) des équipes techniques est rarement analysé comme un symptôme architectural. On l'attribue aux délais impossibles, aux budgets insuffisants, au manque de reconnaissance. Ces facteurs sont réels, mais ils masquent une cause plus profonde : la charge cognitive insoutenable imposée par des systèmes devenus incompréhensibles.</w:t>
      </w:r>
    </w:p>
    <w:p>
      <w:pPr>
        <w:spacing w:after="200" w:line="276"/>
        <w:jc w:val="both"/>
      </w:pPr>
      <w:r>
        <w:rPr>
          <w:rFonts w:ascii="Arial" w:cs="Arial" w:eastAsia="Arial" w:hAnsi="Arial"/>
          <w:sz w:val="24"/>
          <w:szCs w:val="24"/>
        </w:rPr>
        <w:t xml:space="preserve">Un ingénieur travaillant sur un système d'information fragmenté doit simultanément maîtriser des dizaines de technologies différentes, comprendre les interactions entre des centaines de composants, anticiper les effets de bord de chaque modification, gérer les interruptions constantes causées par les incidents de production. Cette surcharge cognitive permanente conduit à l'épuisement.</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2"/>
              <w:bottom w:val="none" w:color="FFFFFF" w:sz="0"/>
              <w:right w:val="none" w:color="FFFFFF" w:sz="0"/>
            </w:tcBorders>
            <w:shd w:fill="E8F5E9" w:val="clear"/>
            <w:tcMar>
              <w:top w:type="dxa" w:w="150"/>
              <w:left w:type="dxa" w:w="200"/>
              <w:bottom w:type="dxa" w:w="150"/>
              <w:right w:type="dxa" w:w="200"/>
            </w:tcMar>
          </w:tcPr>
          <w:p>
            <w:pPr>
              <w:spacing w:after="100"/>
            </w:pPr>
            <w:r>
              <w:rPr>
                <w:rFonts w:ascii="Arial" w:cs="Arial" w:eastAsia="Arial" w:hAnsi="Arial"/>
                <w:b/>
                <w:bCs/>
                <w:color w:val="2E7D32"/>
                <w:sz w:val="22"/>
                <w:szCs w:val="22"/>
              </w:rPr>
              <w:t xml:space="preserve">Perspective stratégique</w:t>
            </w:r>
          </w:p>
          <w:p>
            <w:pPr>
              <w:spacing w:after="80"/>
            </w:pPr>
            <w:r>
              <w:rPr>
                <w:rFonts w:ascii="Arial" w:cs="Arial" w:eastAsia="Arial" w:hAnsi="Arial"/>
                <w:i/>
                <w:iCs/>
                <w:sz w:val="22"/>
                <w:szCs w:val="22"/>
              </w:rPr>
              <w:t xml:space="preserve">Selon une étude de Haystack Analytics (2024), 83 % des développeurs déclarent souffrir d'épuisement professionnel, et 81 % rapportent une détérioration de leur situation depuis la pandémie. L'étude identifie la complexité des systèmes et la dette technique comme facteurs majeurs. Le coût du turnover technique — recrutement, formation, perte de productivité — représente typiquement 150 % à 200 % du salaire annuel.</w:t>
            </w:r>
          </w:p>
        </w:tc>
      </w:tr>
    </w:tbl>
    <w:p>
      <w:pPr>
        <w:spacing w:after="200"/>
      </w:pPr>
    </w:p>
    <w:p>
      <w:pPr>
        <w:spacing w:after="200" w:line="276"/>
        <w:jc w:val="both"/>
      </w:pPr>
      <w:r>
        <w:rPr>
          <w:rFonts w:ascii="Arial" w:cs="Arial" w:eastAsia="Arial" w:hAnsi="Arial"/>
          <w:sz w:val="24"/>
          <w:szCs w:val="24"/>
        </w:rPr>
        <w:t xml:space="preserve">Le cercle vicieux est établi. Les équipes épuisées produisent un travail de moindre qualité, augmentant la dette technique et cognitive. Les départs se multiplient, concentrant la charge sur les survivants. Les nouveaux arrivants, insuffisamment formés par des équipes débordées, commettent des erreurs qui aggravent encore la situation. L'organisation entre dans une spirale descendante dont il est difficile de s'extraire.</w:t>
      </w:r>
    </w:p>
    <w:p>
      <w:pPr>
        <w:spacing w:after="200" w:line="276"/>
        <w:jc w:val="both"/>
      </w:pPr>
      <w:r>
        <w:rPr>
          <w:rFonts w:ascii="Arial" w:cs="Arial" w:eastAsia="Arial" w:hAnsi="Arial"/>
          <w:sz w:val="24"/>
          <w:szCs w:val="24"/>
        </w:rPr>
        <w:t xml:space="preserve">Les tentatives de résolution par l'ajout de ressources échouent généralement. La loi de Brooks — « ajouter des personnes à un projet en retard le retarde davantage » — s'applique cruellement. Les nouveaux venus doivent être formés par les experts déjà surchargés. La coordination devient plus complexe. La dette cognitive augmente avec chaque nouveau participant qui développe sa propre compréhension partielle du système.</w:t>
      </w:r>
    </w:p>
    <w:p>
      <w:pPr>
        <w:pStyle w:val="Heading3"/>
      </w:pPr>
      <w:r>
        <w:t xml:space="preserve">I.1.3.3 Le Théâtre de l'Agilité : Quand les Rituels Masquent la Paralysie</w:t>
      </w:r>
    </w:p>
    <w:p>
      <w:pPr>
        <w:spacing w:after="200" w:line="276"/>
        <w:jc w:val="both"/>
      </w:pPr>
      <w:r>
        <w:rPr>
          <w:rFonts w:ascii="Arial" w:cs="Arial" w:eastAsia="Arial" w:hAnsi="Arial"/>
          <w:sz w:val="24"/>
          <w:szCs w:val="24"/>
        </w:rPr>
        <w:t xml:space="preserve">L'adoption massive des méthodes agiles — Scrum, Kanban, SAFe — devait libérer les équipes de la rigidité des approches traditionnelles. La réalité est souvent différente. Dans de nombreuses organisations, l'agilité est devenue un théâtre : les rituels sont observés scrupuleusement, mais la capacité réelle à livrer de la valeur reste entravée par la complexité systémique.</w:t>
      </w:r>
    </w:p>
    <w:p>
      <w:pPr>
        <w:spacing w:after="200" w:line="276"/>
        <w:jc w:val="both"/>
      </w:pPr>
      <w:r>
        <w:rPr>
          <w:rFonts w:ascii="Arial" w:cs="Arial" w:eastAsia="Arial" w:hAnsi="Arial"/>
          <w:sz w:val="24"/>
          <w:szCs w:val="24"/>
        </w:rPr>
        <w:t xml:space="preserve">Les </w:t>
      </w:r>
      <w:r>
        <w:rPr>
          <w:rFonts w:ascii="Arial" w:cs="Arial" w:eastAsia="Arial" w:hAnsi="Arial"/>
          <w:b/>
          <w:bCs/>
          <w:sz w:val="24"/>
          <w:szCs w:val="24"/>
        </w:rPr>
        <w:t xml:space="preserve">cérémonies agiles</w:t>
      </w:r>
      <w:r>
        <w:rPr>
          <w:rFonts w:ascii="Arial" w:cs="Arial" w:eastAsia="Arial" w:hAnsi="Arial"/>
          <w:sz w:val="24"/>
          <w:szCs w:val="24"/>
        </w:rPr>
        <w:t xml:space="preserve"> — daily standups, sprint plannings, rétrospectives — consomment un temps considérable. Les équipes passent parfois plus de temps à discuter du travail qu'à l'accomplir. La prolifération des réunions de synchronisation entre équipes, nécessaire dans un environnement fragmenté, amplifie ce phénomène.</w:t>
      </w:r>
    </w:p>
    <w:p>
      <w:pPr>
        <w:spacing w:after="200" w:line="276"/>
        <w:jc w:val="both"/>
      </w:pPr>
      <w:r>
        <w:rPr>
          <w:rFonts w:ascii="Arial" w:cs="Arial" w:eastAsia="Arial" w:hAnsi="Arial"/>
          <w:sz w:val="24"/>
          <w:szCs w:val="24"/>
        </w:rPr>
        <w:t xml:space="preserve">La </w:t>
      </w:r>
      <w:r>
        <w:rPr>
          <w:rFonts w:ascii="Arial" w:cs="Arial" w:eastAsia="Arial" w:hAnsi="Arial"/>
          <w:b/>
          <w:bCs/>
          <w:sz w:val="24"/>
          <w:szCs w:val="24"/>
        </w:rPr>
        <w:t xml:space="preserve">vélocité</w:t>
      </w:r>
      <w:r>
        <w:rPr>
          <w:rFonts w:ascii="Arial" w:cs="Arial" w:eastAsia="Arial" w:hAnsi="Arial"/>
          <w:sz w:val="24"/>
          <w:szCs w:val="24"/>
        </w:rPr>
        <w:t xml:space="preserve"> — métrique fétiche de l'agilité — devient une fin en soi plutôt qu'un indicateur. Les équipes optimisent pour la vélocité mesurée, pas pour la valeur délivrée. Les user stories sont découpées artificiellement pour gonfler les statistiques. Le travail d'intégration, difficile à quantifier, est sous-estimé ou ignoré.</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FA2" w:sz="12"/>
              <w:bottom w:val="none" w:color="FFFFFF" w:sz="0"/>
              <w:right w:val="none" w:color="FFFFFF" w:sz="0"/>
            </w:tcBorders>
            <w:shd w:fill="F3E5F5" w:val="clear"/>
            <w:tcMar>
              <w:top w:type="dxa" w:w="150"/>
              <w:left w:type="dxa" w:w="200"/>
              <w:bottom w:type="dxa" w:w="150"/>
              <w:right w:type="dxa" w:w="200"/>
            </w:tcMar>
          </w:tcPr>
          <w:p>
            <w:pPr>
              <w:spacing w:after="100"/>
            </w:pPr>
            <w:r>
              <w:rPr>
                <w:rFonts w:ascii="Arial" w:cs="Arial" w:eastAsia="Arial" w:hAnsi="Arial"/>
                <w:b/>
                <w:bCs/>
                <w:color w:val="7B1FA2"/>
                <w:sz w:val="22"/>
                <w:szCs w:val="22"/>
              </w:rPr>
              <w:t xml:space="preserve">Exemple concret</w:t>
            </w:r>
          </w:p>
          <w:p>
            <w:pPr>
              <w:spacing w:after="80"/>
            </w:pPr>
            <w:r>
              <w:rPr>
                <w:rFonts w:ascii="Arial" w:cs="Arial" w:eastAsia="Arial" w:hAnsi="Arial"/>
                <w:i/>
                <w:iCs/>
                <w:sz w:val="22"/>
                <w:szCs w:val="22"/>
              </w:rPr>
              <w:t xml:space="preserve">Une entreprise de télécommunications a déployé SAFe (Scaled Agile Framework) avec 42 équipes organisées en 6 « trains ». L'analyse un an après le déploiement révélait que 67 % du temps des développeurs était consacré aux cérémonies, aux réunions de coordination et à la gestion des dépendances inter-équipes. La vélocité totale avait augmenté de 40 %, mais le délai moyen de mise en production d'une fonctionnalité avait également augmenté de 25 %.</w:t>
            </w:r>
          </w:p>
        </w:tc>
      </w:tr>
    </w:tbl>
    <w:p>
      <w:pPr>
        <w:spacing w:after="200"/>
      </w:pPr>
    </w:p>
    <w:p>
      <w:pPr>
        <w:spacing w:after="200" w:line="276"/>
        <w:jc w:val="both"/>
      </w:pPr>
      <w:r>
        <w:rPr>
          <w:rFonts w:ascii="Arial" w:cs="Arial" w:eastAsia="Arial" w:hAnsi="Arial"/>
          <w:sz w:val="24"/>
          <w:szCs w:val="24"/>
        </w:rPr>
        <w:t xml:space="preserve">L'agilité à l'échelle bute sur la complexité architecturale. Les dépendances entre équipes, reflet des dépendances entre systèmes, imposent une coordination constante qui contredit l'autonomie promise. Les « Program Increments » de SAFe tentent de planifier cette coordination, mais la planification trimestrielle de systèmes interdépendants ressemble étrangement à la planification en cascade que l'agilité prétendait dépasser.</w:t>
      </w:r>
    </w:p>
    <w:p>
      <w:pPr>
        <w:spacing w:after="200" w:line="276"/>
        <w:jc w:val="both"/>
      </w:pPr>
      <w:r>
        <w:rPr>
          <w:rFonts w:ascii="Arial" w:cs="Arial" w:eastAsia="Arial" w:hAnsi="Arial"/>
          <w:sz w:val="24"/>
          <w:szCs w:val="24"/>
        </w:rPr>
        <w:t xml:space="preserve">Le véritable obstacle à l'agilité n'est pas méthodologique; il est architectural. Une organisation ne peut être plus agile que son système d'information ne le permet. Tant que les dépendances techniques contraignent les équipes à se coordonner constamment, aucune méthode ne pourra créer l'autonomie nécessaire à une vraie agilité.</w:t>
      </w:r>
    </w:p>
    <w:p>
      <w:pPr>
        <w:pStyle w:val="Heading2"/>
      </w:pPr>
      <w:r>
        <w:t xml:space="preserve">I.1.4 Vers une Architecture Réactive et Agentique</w:t>
      </w:r>
    </w:p>
    <w:p>
      <w:pPr>
        <w:spacing w:after="200" w:line="276"/>
        <w:jc w:val="both"/>
      </w:pPr>
      <w:r>
        <w:rPr>
          <w:rFonts w:ascii="Arial" w:cs="Arial" w:eastAsia="Arial" w:hAnsi="Arial"/>
          <w:sz w:val="24"/>
          <w:szCs w:val="24"/>
        </w:rPr>
        <w:t xml:space="preserve">Le diagnostic posé dans ce chapitre pourrait sembler désespérant. La dette systémique accumulée, la fragmentation technologique, l'épuisement des équipes : autant de facteurs qui semblent condamner les organisations à une paralysie progressive. Pourtant, des voies de sortie existent.</w:t>
      </w:r>
    </w:p>
    <w:p>
      <w:pPr>
        <w:spacing w:after="200" w:line="276"/>
        <w:jc w:val="both"/>
      </w:pPr>
      <w:r>
        <w:rPr>
          <w:rFonts w:ascii="Arial" w:cs="Arial" w:eastAsia="Arial" w:hAnsi="Arial"/>
          <w:sz w:val="24"/>
          <w:szCs w:val="24"/>
        </w:rPr>
        <w:t xml:space="preserve">La première condition du changement est l'acceptation lucide de la situation. Les discours volontaristes sur la « transformation digitale » échouent précisément parce qu'ils sous-estiment la profondeur de la crise. Prétendre qu'un projet de modernisation de 18 mois résoudra des décennies d'accumulation est une illusion dangereuse.</w:t>
      </w:r>
    </w:p>
    <w:p>
      <w:pPr>
        <w:spacing w:after="200" w:line="276"/>
        <w:jc w:val="both"/>
      </w:pPr>
      <w:r>
        <w:rPr>
          <w:rFonts w:ascii="Arial" w:cs="Arial" w:eastAsia="Arial" w:hAnsi="Arial"/>
          <w:sz w:val="24"/>
          <w:szCs w:val="24"/>
        </w:rPr>
        <w:t xml:space="preserve">La seconde condition est le changement de paradigme. Les approches traditionnelles d'intégration — centralisation, standardisation forcée, grands programmes de refonte — ont montré leurs limites. L'</w:t>
      </w:r>
      <w:r>
        <w:rPr>
          <w:rFonts w:ascii="Arial" w:cs="Arial" w:eastAsia="Arial" w:hAnsi="Arial"/>
          <w:b/>
          <w:bCs/>
          <w:sz w:val="24"/>
          <w:szCs w:val="24"/>
        </w:rPr>
        <w:t xml:space="preserve">architecture réactive</w:t>
      </w:r>
      <w:r>
        <w:rPr>
          <w:rFonts w:ascii="Arial" w:cs="Arial" w:eastAsia="Arial" w:hAnsi="Arial"/>
          <w:sz w:val="24"/>
          <w:szCs w:val="24"/>
        </w:rPr>
        <w:t xml:space="preserve">, fondée sur les événements et le découplage, offre une alternative prometteuse que nous explorerons dans les chapitres suivants.</w:t>
      </w:r>
    </w:p>
    <w:p>
      <w:pPr>
        <w:spacing w:after="200" w:line="276"/>
        <w:jc w:val="both"/>
      </w:pPr>
      <w:r>
        <w:rPr>
          <w:rFonts w:ascii="Arial" w:cs="Arial" w:eastAsia="Arial" w:hAnsi="Arial"/>
          <w:sz w:val="24"/>
          <w:szCs w:val="24"/>
        </w:rPr>
        <w:t xml:space="preserve">La troisième condition est l'introduction de l'intelligence dans l'architecture. Les </w:t>
      </w:r>
      <w:r>
        <w:rPr>
          <w:rFonts w:ascii="Arial" w:cs="Arial" w:eastAsia="Arial" w:hAnsi="Arial"/>
          <w:b/>
          <w:bCs/>
          <w:sz w:val="24"/>
          <w:szCs w:val="24"/>
        </w:rPr>
        <w:t xml:space="preserve">agents cognitifs</w:t>
      </w:r>
      <w:r>
        <w:rPr>
          <w:rFonts w:ascii="Arial" w:cs="Arial" w:eastAsia="Arial" w:hAnsi="Arial"/>
          <w:sz w:val="24"/>
          <w:szCs w:val="24"/>
        </w:rPr>
        <w:t xml:space="preserve">, capables de comprendre le contexte et de s'adapter dynamiquement, peuvent absorber une partie de la complexité qui épuise aujourd'hui les équipes humaines. L'</w:t>
      </w:r>
      <w:r>
        <w:rPr>
          <w:rFonts w:ascii="Arial" w:cs="Arial" w:eastAsia="Arial" w:hAnsi="Arial"/>
          <w:b/>
          <w:bCs/>
          <w:sz w:val="24"/>
          <w:szCs w:val="24"/>
        </w:rPr>
        <w:t xml:space="preserve">entreprise agentique</w:t>
      </w:r>
      <w:r>
        <w:rPr>
          <w:rFonts w:ascii="Arial" w:cs="Arial" w:eastAsia="Arial" w:hAnsi="Arial"/>
          <w:sz w:val="24"/>
          <w:szCs w:val="24"/>
        </w:rPr>
        <w:t xml:space="preserve">, vers laquelle tend l'ensemble de cette monographie, représente l'horizon de cette transformation.</w:t>
      </w:r>
    </w:p>
    <w:p>
      <w:pPr>
        <w:spacing w:after="200" w:line="276"/>
        <w:jc w:val="both"/>
      </w:pPr>
      <w:r>
        <w:rPr>
          <w:rFonts w:ascii="Arial" w:cs="Arial" w:eastAsia="Arial" w:hAnsi="Arial"/>
          <w:sz w:val="24"/>
          <w:szCs w:val="24"/>
        </w:rPr>
        <w:t xml:space="preserve">Les chapitres suivants de cette première partie approfondiront les fondements conceptuels de l'interopérabilité (Chapitre I.2) et les cadres de référence permettant d'évaluer et de structurer la démarche (Chapitre I.3). Ces bases théoriques sont indispensables avant d'aborder, dans la Partie 2, l'architecture réactive qui constituera le système nerveux numérique de l'entreprise agentique.</w:t>
      </w:r>
    </w:p>
    <w:p>
      <w:r>
        <w:br w:type="page"/>
      </w:r>
    </w:p>
    <w:p>
      <w:pPr>
        <w:pStyle w:val="Heading2"/>
      </w:pPr>
      <w:r>
        <w:t xml:space="preserve">I.1.5 Résumé</w:t>
      </w:r>
    </w:p>
    <w:p>
      <w:pPr>
        <w:spacing w:after="200" w:line="276"/>
        <w:jc w:val="both"/>
      </w:pPr>
      <w:r>
        <w:rPr>
          <w:rFonts w:ascii="Arial" w:cs="Arial" w:eastAsia="Arial" w:hAnsi="Arial"/>
          <w:sz w:val="24"/>
          <w:szCs w:val="24"/>
        </w:rPr>
        <w:t xml:space="preserve">Ce chapitre a posé le diagnostic de la crise systémique de l'intégration des systèmes d'information :</w:t>
      </w:r>
    </w:p>
    <w:p>
      <w:pPr>
        <w:spacing w:after="200" w:line="276"/>
        <w:jc w:val="both"/>
      </w:pPr>
      <w:r>
        <w:rPr>
          <w:rFonts w:ascii="Arial" w:cs="Arial" w:eastAsia="Arial" w:hAnsi="Arial"/>
          <w:b/>
          <w:bCs/>
          <w:sz w:val="24"/>
          <w:szCs w:val="24"/>
        </w:rPr>
        <w:t xml:space="preserve">L'archéologie de l'intégration </w:t>
      </w:r>
      <w:r>
        <w:rPr>
          <w:rFonts w:ascii="Arial" w:cs="Arial" w:eastAsia="Arial" w:hAnsi="Arial"/>
          <w:sz w:val="24"/>
          <w:szCs w:val="24"/>
        </w:rPr>
        <w:t xml:space="preserve">révèle un cycle récurrent de promesses et de déceptions. Du « plat de spaghettis » des connexions point à point à la centralisation de l'EAI et du SOA, jusqu'à la fragmentation des microservices, chaque paradigme a résolu certains problèmes tout en créant de nouvelles formes de complexité. La dette systémique s'est accumulée, couche après couche.</w:t>
      </w:r>
    </w:p>
    <w:p>
      <w:pPr>
        <w:spacing w:after="200" w:line="276"/>
        <w:jc w:val="both"/>
      </w:pPr>
      <w:r>
        <w:rPr>
          <w:rFonts w:ascii="Arial" w:cs="Arial" w:eastAsia="Arial" w:hAnsi="Arial"/>
          <w:b/>
          <w:bCs/>
          <w:sz w:val="24"/>
          <w:szCs w:val="24"/>
        </w:rPr>
        <w:t xml:space="preserve">La fragmentation contemporaine </w:t>
      </w:r>
      <w:r>
        <w:rPr>
          <w:rFonts w:ascii="Arial" w:cs="Arial" w:eastAsia="Arial" w:hAnsi="Arial"/>
          <w:sz w:val="24"/>
          <w:szCs w:val="24"/>
        </w:rPr>
        <w:t xml:space="preserve">confronte les organisations à des défis sans précédent. La cohabitation du patrimoine applicatif, de l'infonuagique et du SaaS crée des tensions architecturales profondes. La convergence TI/TO étend le périmètre d'intégration au monde physique. L'accélération temporelle du Big Data au Fast Data impose des exigences de temps réel incompatibles avec les systèmes patrimoniaux.</w:t>
      </w:r>
    </w:p>
    <w:p>
      <w:pPr>
        <w:spacing w:after="200" w:line="276"/>
        <w:jc w:val="both"/>
      </w:pPr>
      <w:r>
        <w:rPr>
          <w:rFonts w:ascii="Arial" w:cs="Arial" w:eastAsia="Arial" w:hAnsi="Arial"/>
          <w:b/>
          <w:bCs/>
          <w:sz w:val="24"/>
          <w:szCs w:val="24"/>
        </w:rPr>
        <w:t xml:space="preserve">La dimension humaine </w:t>
      </w:r>
      <w:r>
        <w:rPr>
          <w:rFonts w:ascii="Arial" w:cs="Arial" w:eastAsia="Arial" w:hAnsi="Arial"/>
          <w:sz w:val="24"/>
          <w:szCs w:val="24"/>
        </w:rPr>
        <w:t xml:space="preserve">de la crise est trop souvent négligée. La dette cognitive — accumulation de savoir implicite non documenté — rend les systèmes opaques. L'épuisement des équipes techniques constitue un symptôme architectural autant qu'un problème managérial. Le « théâtre de l'agilité » masque une paralysie organisationnelle que les méthodes seules ne peuvent résoudre.</w:t>
      </w:r>
    </w:p>
    <w:p>
      <w:pPr>
        <w:spacing w:after="200" w:line="276"/>
        <w:jc w:val="both"/>
      </w:pPr>
      <w:r>
        <w:rPr>
          <w:rFonts w:ascii="Arial" w:cs="Arial" w:eastAsia="Arial" w:hAnsi="Arial"/>
          <w:b/>
          <w:bCs/>
          <w:sz w:val="24"/>
          <w:szCs w:val="24"/>
        </w:rPr>
        <w:t xml:space="preserve">La voie de sortie </w:t>
      </w:r>
      <w:r>
        <w:rPr>
          <w:rFonts w:ascii="Arial" w:cs="Arial" w:eastAsia="Arial" w:hAnsi="Arial"/>
          <w:sz w:val="24"/>
          <w:szCs w:val="24"/>
        </w:rPr>
        <w:t xml:space="preserve">passe par un changement de paradigme. L'architecture réactive, fondée sur les événements et le découplage, offre une alternative aux approches centralisatrices traditionnelles. L'introduction d'agents cognitifs peut absorber une partie de la complexité. L'entreprise agentique représente l'horizon de cette transformation.</w:t>
      </w:r>
    </w:p>
    <w:p>
      <w:pPr>
        <w:spacing w:after="300"/>
      </w:pPr>
    </w:p>
    <w:p>
      <w:pPr>
        <w:spacing w:after="200"/>
      </w:pPr>
      <w:r>
        <w:rPr>
          <w:rFonts w:ascii="Arial" w:cs="Arial" w:eastAsia="Arial" w:hAnsi="Arial"/>
          <w:b/>
          <w:bCs/>
          <w:sz w:val="24"/>
          <w:szCs w:val="24"/>
        </w:rPr>
        <w:t xml:space="preserve">Tableau récapitulatif : Évolution des paradigmes d'intégration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Paradigme</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Promesse</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Limite révélée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Point à point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Connexion directe simple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Complexité exponentielle (n² connexions)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EAI / Hub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Centralisation des échanges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Goulot d'étranglement unique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SOA / ESB</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Services réutilisables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Complexité des standards, faible réutilisation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Microservices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Autonomie des équipes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Explosion opérationnelle, incohérence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Agentique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Intelligence adaptative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À démontrer (sujet de cette monographie)</w:t>
            </w:r>
          </w:p>
        </w:tc>
      </w:tr>
    </w:tbl>
    <w:p>
      <w:pPr>
        <w:spacing w:after="400"/>
      </w:pPr>
    </w:p>
    <w:p>
      <w:pPr>
        <w:jc w:val="center"/>
      </w:pPr>
      <w:r>
        <w:rPr>
          <w:color w:val="4A90D9"/>
          <w:sz w:val="24"/>
          <w:szCs w:val="24"/>
        </w:rPr>
        <w:t xml:space="preserve">───────────────────────────────</w:t>
      </w:r>
    </w:p>
    <w:p>
      <w:pPr>
        <w:spacing w:before="200"/>
        <w:jc w:val="center"/>
      </w:pPr>
      <w:r>
        <w:rPr>
          <w:rFonts w:ascii="Arial" w:cs="Arial" w:eastAsia="Arial" w:hAnsi="Arial"/>
          <w:i/>
          <w:iCs/>
          <w:color w:val="2E5B8A"/>
          <w:sz w:val="22"/>
          <w:szCs w:val="22"/>
        </w:rPr>
        <w:t xml:space="preserve">Le Chapitre I.2 qui suit établit les fondements conceptuels de l'interopérabilité, distinguant ce concept de l'intégration traditionnelle et identifiant les dimensions à maîtriser pour construire des systèmes véritablement interopérables.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E5B8A"/>
        <w:sz w:val="18"/>
        <w:szCs w:val="18"/>
      </w:rPr>
      <w:t xml:space="preserve">Volume I : Fondations de l'Entreprise Agentique —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2E5B8A"/>
        <w:sz w:val="20"/>
        <w:szCs w:val="20"/>
      </w:rPr>
      <w:t xml:space="preserve">Chapitre I.1 — Crise de l'Intégration Systémique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5B8A"/>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333333"/>
      <w:sz w:val="26"/>
      <w:szCs w:val="26"/>
    </w:rPr>
  </w:style>
  <w:style w:type="paragraph" w:styleId="Heading4">
    <w:name w:val="Heading 4"/>
    <w:basedOn w:val="Normal"/>
    <w:next w:val="Normal"/>
    <w:qFormat/>
    <w:pPr>
      <w:spacing w:before="200" w:after="100"/>
      <w:outlineLvl w:val="3"/>
    </w:pPr>
    <w:rPr>
      <w:rFonts w:ascii="Arial" w:cs="Arial" w:eastAsia="Arial" w:hAnsi="Arial"/>
      <w:b/>
      <w:bCs/>
      <w:color w:val="2E5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2026-01-11T11:02:45.747Z</dcterms:created>
  <dcterms:modified xsi:type="dcterms:W3CDTF">2026-01-11T11:02:45.748Z</dcterms:modified>
</cp:coreProperties>
</file>

<file path=docProps/custom.xml><?xml version="1.0" encoding="utf-8"?>
<Properties xmlns="http://schemas.openxmlformats.org/officeDocument/2006/custom-properties" xmlns:vt="http://schemas.openxmlformats.org/officeDocument/2006/docPropsVTypes"/>
</file>