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I.15</w:t>
      </w:r>
    </w:p>
    <w:p>
      <w:pPr>
        <w:pStyle w:val="Heading1"/>
        <w:spacing w:after="400"/>
        <w:jc w:val="center"/>
      </w:pPr>
      <w:r>
        <w:rPr>
          <w:rFonts w:ascii="Arial" w:cs="Arial" w:eastAsia="Arial" w:hAnsi="Arial"/>
          <w:b/>
          <w:bCs/>
          <w:sz w:val="36"/>
          <w:szCs w:val="36"/>
        </w:rPr>
        <w:t xml:space="preserve">Ingénierie des Systèmes Cognitifs et Protocoles d'Interaction</w:t>
      </w:r>
    </w:p>
    <w:p>
      <w:pPr>
        <w:spacing w:before="200" w:after="400"/>
        <w:ind w:left="2880"/>
        <w:jc w:val="right"/>
      </w:pPr>
      <w:r>
        <w:rPr>
          <w:rFonts w:ascii="Georgia" w:cs="Georgia" w:eastAsia="Georgia" w:hAnsi="Georgia"/>
          <w:i/>
          <w:iCs/>
          <w:sz w:val="22"/>
          <w:szCs w:val="22"/>
        </w:rPr>
        <w:t xml:space="preserve">« La qualité d'un système se mesure à la qualité de ses interfaces. »
— David Parnas, Pionnier du génie logiciel</w:t>
      </w:r>
    </w:p>
    <w:p>
      <w:pPr>
        <w:spacing w:after="200" w:line="276"/>
        <w:jc w:val="both"/>
      </w:pPr>
      <w:r>
        <w:rPr>
          <w:rFonts w:ascii="Georgia" w:cs="Georgia" w:eastAsia="Georgia" w:hAnsi="Georgia"/>
          <w:sz w:val="24"/>
          <w:szCs w:val="24"/>
        </w:rPr>
        <w:t xml:space="preserve">Les chapitres précédents ont établi l'architecture des systèmes multi-agents : l'anatomie de l'agent cognitif et le maillage qui les interconnecte. Ce chapitre aborde la dimension pratique : comment construire concrètement ces systèmes ? L'ingénierie des systèmes cognitifs constitue une discipline émergente qui formalise les meilleures pratiques de conception, d'implémentation et d'intégration des agents.</w:t>
      </w:r>
    </w:p>
    <w:p>
      <w:pPr>
        <w:spacing w:after="200" w:line="276"/>
        <w:jc w:val="both"/>
      </w:pPr>
      <w:r>
        <w:rPr>
          <w:rFonts w:ascii="Georgia" w:cs="Georgia" w:eastAsia="Georgia" w:hAnsi="Georgia"/>
          <w:sz w:val="24"/>
          <w:szCs w:val="24"/>
        </w:rPr>
        <w:t xml:space="preserve">Nous examinerons d'abord l'ingénierie du contexte — prompt engineering et RAG — qui détermine la qualité des raisonnements de l'agent. Nous explorerons ensuite la modélisation des workflows cognitifs comme graphes acycliques dirigés. Nous présenterons les protocoles d'interopérabilité agentique qui standardisent les interactions entre agents. Enfin, nous survolerons l'écosystème des cadriciels qui accélèrent le développement.</w:t>
      </w:r>
    </w:p>
    <w:p>
      <w:pPr>
        <w:pStyle w:val="Heading2"/>
      </w:pPr>
      <w:r>
        <w:rPr>
          <w:rFonts w:ascii="Arial" w:cs="Arial" w:eastAsia="Arial" w:hAnsi="Arial"/>
          <w:b/>
          <w:bCs/>
        </w:rPr>
        <w:t xml:space="preserve">I.15.1 L'Ingénierie du Contexte : Prompt Engineering et RAG Avancé</w:t>
      </w:r>
    </w:p>
    <w:p>
      <w:pPr>
        <w:spacing w:after="200" w:line="276"/>
        <w:jc w:val="both"/>
      </w:pPr>
      <w:r>
        <w:rPr>
          <w:rFonts w:ascii="Georgia" w:cs="Georgia" w:eastAsia="Georgia" w:hAnsi="Georgia"/>
          <w:sz w:val="24"/>
          <w:szCs w:val="24"/>
        </w:rPr>
        <w:t xml:space="preserve">La performance d'un agent cognitif dépend fondamentalement de la qualité du contexte fourni à son modèle de langage sous-jacent. L'ingénierie du contexte — la discipline qui optimise ce contexte — détermine si l'agent produira des réponses pertinentes ou des hallucinations, des actions efficaces ou des erreurs coûteuses.</w:t>
      </w:r>
    </w:p>
    <w:p>
      <w:pPr>
        <w:pStyle w:val="Heading3"/>
      </w:pPr>
      <w:r>
        <w:rPr>
          <w:rFonts w:ascii="Arial" w:cs="Arial" w:eastAsia="Arial" w:hAnsi="Arial"/>
          <w:b/>
          <w:bCs/>
        </w:rPr>
        <w:t xml:space="preserve">Prompt Engineering pour les Agents</w:t>
      </w:r>
    </w:p>
    <w:p>
      <w:pPr>
        <w:spacing w:after="200" w:line="276"/>
        <w:jc w:val="both"/>
      </w:pPr>
      <w:r>
        <w:rPr>
          <w:rFonts w:ascii="Georgia" w:cs="Georgia" w:eastAsia="Georgia" w:hAnsi="Georgia"/>
          <w:sz w:val="24"/>
          <w:szCs w:val="24"/>
        </w:rPr>
        <w:t xml:space="preserve">Le prompt engineering pour les agents diffère du prompting conversationnel classique. Un prompt d'agent doit définir l'identité et le rôle de l'agent, ses capacités et ses limites, les outils à sa disposition et leurs conditions d'usage, le format attendu des réponses, et les garde-fous comportementaux. Cette complexité exige une structuration rigoureuse.</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system prompt</w:t>
      </w:r>
      <w:r>
        <w:rPr>
          <w:rFonts w:ascii="Georgia" w:cs="Georgia" w:eastAsia="Georgia" w:hAnsi="Georgia"/>
          <w:b w:val="false"/>
          <w:bCs w:val="false"/>
          <w:i w:val="false"/>
          <w:iCs w:val="false"/>
          <w:sz w:val="24"/>
          <w:szCs w:val="24"/>
        </w:rPr>
        <w:t xml:space="preserve"> établit le cadre permanent de l'agent. Il décrit sa personnalité, son expertise, ses valeurs et ses contraintes. Un agent de support client aura un system prompt différent d'un agent d'analyse financière. Ce prompt est stable à travers les interactions et constitue l'« ADN » comportemental de l'agent.</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instructions d'outils</w:t>
      </w:r>
      <w:r>
        <w:rPr>
          <w:rFonts w:ascii="Georgia" w:cs="Georgia" w:eastAsia="Georgia" w:hAnsi="Georgia"/>
          <w:b w:val="false"/>
          <w:bCs w:val="false"/>
          <w:i w:val="false"/>
          <w:iCs w:val="false"/>
          <w:sz w:val="24"/>
          <w:szCs w:val="24"/>
        </w:rPr>
        <w:t xml:space="preserve"> décrivent précisément chaque outil disponible : son nom, sa description, ses paramètres, ses conditions d'usage, ses effets. La qualité de ces descriptions détermine si l'agent choisira le bon outil et l'invoquera correctement. Des descriptions ambiguës causent des erreurs ; des descriptions précises guident le raisonnement.</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prompt dynamique</w:t>
      </w:r>
      <w:r>
        <w:rPr>
          <w:rFonts w:ascii="Georgia" w:cs="Georgia" w:eastAsia="Georgia" w:hAnsi="Georgia"/>
          <w:b w:val="false"/>
          <w:bCs w:val="false"/>
          <w:i w:val="false"/>
          <w:iCs w:val="false"/>
          <w:sz w:val="24"/>
          <w:szCs w:val="24"/>
        </w:rPr>
        <w:t xml:space="preserve"> injecte le contexte spécifique à chaque interaction : la requête utilisateur, l'historique de la conversation, les résultats des appels d'outils précédents, les données pertinentes récupérées. La gestion de ce contexte dynamique est critique : trop peu d'information et l'agent manque d'éléments pour décider ; trop d'information et les éléments importants se noient dans le bruit.</w:t>
      </w:r>
    </w:p>
    <w:p>
      <w:pPr>
        <w:pStyle w:val="Heading3"/>
      </w:pPr>
      <w:r>
        <w:rPr>
          <w:rFonts w:ascii="Arial" w:cs="Arial" w:eastAsia="Arial" w:hAnsi="Arial"/>
          <w:b/>
          <w:bCs/>
        </w:rPr>
        <w:t xml:space="preserve">RAG Avancé : Au-delà de la Recherche Simple</w:t>
      </w:r>
    </w:p>
    <w:p>
      <w:pPr>
        <w:spacing w:after="200" w:line="276"/>
        <w:jc w:val="both"/>
      </w:pPr>
      <w:r>
        <w:rPr>
          <w:rFonts w:ascii="Georgia" w:cs="Georgia" w:eastAsia="Georgia" w:hAnsi="Georgia"/>
          <w:sz w:val="24"/>
          <w:szCs w:val="24"/>
        </w:rPr>
        <w:t xml:space="preserve">La génération augmentée par récupération (Retrieval-Augmented Generation ou RAG) connecte l'agent à des bases de connaissances externes. Plutôt que de se fier uniquement aux connaissances figées dans les poids du modèle, l'agent récupère dynamiquement les informations pertinentes pour chaque requête. Cette approche réduit les hallucinations et permet d'accéder à des connaissances privées ou récentes.</w:t>
      </w:r>
    </w:p>
    <w:p>
      <w:pPr>
        <w:spacing w:after="200" w:line="276"/>
        <w:jc w:val="both"/>
      </w:pPr>
      <w:r>
        <w:rPr>
          <w:rFonts w:ascii="Georgia" w:cs="Georgia" w:eastAsia="Georgia" w:hAnsi="Georgia"/>
          <w:sz w:val="24"/>
          <w:szCs w:val="24"/>
        </w:rPr>
        <w:t xml:space="preserve">Le RAG basique — découper des documents, les vectoriser, rechercher par similarité — atteint rapidement ses limites pour les agents d'entreprise. Les techniques avancées incluent le chunking sémantique qui respecte la structure logique des documents, le re-ranking qui réordonne les résultats par pertinence, la recherche hybride combinant vecteurs et mots-clés, et le RAG itératif où l'agent affine ses requêtes successivement.</w:t>
      </w:r>
    </w:p>
    <w:p>
      <w:pPr>
        <w:spacing w:after="200" w:line="276"/>
        <w:jc w:val="both"/>
      </w:pPr>
      <w:r>
        <w:rPr>
          <w:rFonts w:ascii="Georgia" w:cs="Georgia" w:eastAsia="Georgia" w:hAnsi="Georgia"/>
          <w:sz w:val="24"/>
          <w:szCs w:val="24"/>
        </w:rPr>
        <w:t xml:space="preserve">L'architecture RAG pour les agents présente des défis spécifiques. L'agent doit décider quand rechercher — pas à chaque requête, mais quand ses connaissances internes sont insuffisantes. Il doit formuler des requêtes efficaces à partir d'intentions utilisateur souvent ambiguës. Il doit évaluer la pertinence et la fiabilité des résultats récupérés. Ces décisions relèvent du raisonnement de l'agent, pas seulement de la mécanique RAG.</w:t>
      </w:r>
    </w:p>
    <w:p>
      <w:pPr>
        <w:pStyle w:val="Heading2"/>
      </w:pPr>
      <w:r>
        <w:rPr>
          <w:rFonts w:ascii="Arial" w:cs="Arial" w:eastAsia="Arial" w:hAnsi="Arial"/>
          <w:b/>
          <w:bCs/>
        </w:rPr>
        <w:t xml:space="preserve">I.15.2 Modélisation des Workflows Cognitifs (DAG)</w:t>
      </w:r>
    </w:p>
    <w:p>
      <w:pPr>
        <w:spacing w:after="200" w:line="276"/>
        <w:jc w:val="both"/>
      </w:pPr>
      <w:r>
        <w:rPr>
          <w:rFonts w:ascii="Georgia" w:cs="Georgia" w:eastAsia="Georgia" w:hAnsi="Georgia"/>
          <w:sz w:val="24"/>
          <w:szCs w:val="24"/>
        </w:rPr>
        <w:t xml:space="preserve">Les tâches complexes se décomposent en séquences d'étapes interconnectées. La modélisation de ces workflows cognitifs comme graphes acycliques dirigés (DAG — Directed Acyclic Graph) permet de visualiser, valider et exécuter ces séquences de manière structurée. Cette approche apporte rigueur et prévisibilité à l'exécution agentique.</w:t>
      </w:r>
    </w:p>
    <w:p>
      <w:pPr>
        <w:spacing w:after="200" w:line="276"/>
        <w:jc w:val="both"/>
      </w:pPr>
      <w:r>
        <w:rPr>
          <w:rFonts w:ascii="Georgia" w:cs="Georgia" w:eastAsia="Georgia" w:hAnsi="Georgia"/>
          <w:sz w:val="24"/>
          <w:szCs w:val="24"/>
        </w:rPr>
        <w:t xml:space="preserve">Dans un DAG cognitif, les nœuds représentent des tâches atomiques : un appel LLM, une invocation d'outil, une transformation de données, une décision de branchement. Les arêtes représentent les dépendances de données ou de contrôle entre tâches. L'exécution parcourt le graphe en respectant ces dépendances, potentiellement en parallélisant les branches indépendantes.</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nœuds de raisonnement</w:t>
      </w:r>
      <w:r>
        <w:rPr>
          <w:rFonts w:ascii="Georgia" w:cs="Georgia" w:eastAsia="Georgia" w:hAnsi="Georgia"/>
          <w:b w:val="false"/>
          <w:bCs w:val="false"/>
          <w:i w:val="false"/>
          <w:iCs w:val="false"/>
          <w:sz w:val="24"/>
          <w:szCs w:val="24"/>
        </w:rPr>
        <w:t xml:space="preserve"> invoquent le LLM pour analyser, décider ou générer. Ils reçoivent un contexte en entrée et produisent une sortie structurée. Les techniques comme le Chain-of-Thought explicite ou le Tree-of-Thought peuvent être encodées dans la structure du graphe, avec des nœuds dédiés à chaque étape de réflexion.</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nœuds d'action</w:t>
      </w:r>
      <w:r>
        <w:rPr>
          <w:rFonts w:ascii="Georgia" w:cs="Georgia" w:eastAsia="Georgia" w:hAnsi="Georgia"/>
          <w:b w:val="false"/>
          <w:bCs w:val="false"/>
          <w:i w:val="false"/>
          <w:iCs w:val="false"/>
          <w:sz w:val="24"/>
          <w:szCs w:val="24"/>
        </w:rPr>
        <w:t xml:space="preserve"> exécutent des opérations sur l'environnement : appels API, requêtes base de données, envoi de messages, modification de fichiers. Leurs résultats alimentent les nœuds suivants. La gestion des erreurs — retry, fallback, escalade — est encodée dans la structure du graphe.</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nœuds de contrôle</w:t>
      </w:r>
      <w:r>
        <w:rPr>
          <w:rFonts w:ascii="Georgia" w:cs="Georgia" w:eastAsia="Georgia" w:hAnsi="Georgia"/>
          <w:b w:val="false"/>
          <w:bCs w:val="false"/>
          <w:i w:val="false"/>
          <w:iCs w:val="false"/>
          <w:sz w:val="24"/>
          <w:szCs w:val="24"/>
        </w:rPr>
        <w:t xml:space="preserve"> gèrent le flux d'exécution : branchements conditionnels basés sur les résultats précédents, boucles pour les traitements itératifs, jointures pour synchroniser des branches parallèles. Ces nœuds permettent d'exprimer des logiques complexes sans programmer impérativement.</w:t>
      </w:r>
    </w:p>
    <w:p>
      <w:pPr>
        <w:spacing w:after="200" w:line="276"/>
        <w:jc w:val="both"/>
      </w:pPr>
      <w:r>
        <w:rPr>
          <w:rFonts w:ascii="Georgia" w:cs="Georgia" w:eastAsia="Georgia" w:hAnsi="Georgia"/>
          <w:sz w:val="24"/>
          <w:szCs w:val="24"/>
        </w:rPr>
        <w:t xml:space="preserve">Les outils comme LangGraph (extension de LangChain), Prefect ou Apache Airflow adaptés aux workflows cognitifs permettent de définir, visualiser et exécuter ces DAG. L'avantage de cette approche structurée est la prévisibilité : on peut valider le workflow avant exécution, tracer son déroulement, reprendre après une interruption. L'inconvénient est la rigidité : les situations non prévues par le graphe peuvent bloquer l'exécution.</w:t>
      </w:r>
    </w:p>
    <w:p>
      <w:pPr>
        <w:pStyle w:val="Heading2"/>
      </w:pPr>
      <w:r>
        <w:rPr>
          <w:rFonts w:ascii="Arial" w:cs="Arial" w:eastAsia="Arial" w:hAnsi="Arial"/>
          <w:b/>
          <w:bCs/>
        </w:rPr>
        <w:t xml:space="preserve">I.15.3 Protocoles d'Interopérabilité Agentique (A2A, MCP)</w:t>
      </w:r>
    </w:p>
    <w:p>
      <w:pPr>
        <w:spacing w:after="200" w:line="276"/>
        <w:jc w:val="both"/>
      </w:pPr>
      <w:r>
        <w:rPr>
          <w:rFonts w:ascii="Georgia" w:cs="Georgia" w:eastAsia="Georgia" w:hAnsi="Georgia"/>
          <w:sz w:val="24"/>
          <w:szCs w:val="24"/>
        </w:rPr>
        <w:t xml:space="preserve">L'interopérabilité entre agents de différents fournisseurs, frameworks ou organisations exige des protocoles standardisés. Deux initiatives majeures émergent en 2024-2025 pour structurer cet espace : le protocole Agent-to-Agent (A2A) de Google et le Model Context Protocol (MCP) d'Anthropic.</w:t>
      </w:r>
    </w:p>
    <w:p>
      <w:pPr>
        <w:pStyle w:val="Heading3"/>
      </w:pPr>
      <w:r>
        <w:rPr>
          <w:rFonts w:ascii="Arial" w:cs="Arial" w:eastAsia="Arial" w:hAnsi="Arial"/>
          <w:b/>
          <w:bCs/>
        </w:rPr>
        <w:t xml:space="preserve">Agent-to-Agent Protocol (A2A)</w:t>
      </w:r>
    </w:p>
    <w:p>
      <w:pPr>
        <w:spacing w:after="200" w:line="276"/>
        <w:jc w:val="both"/>
      </w:pPr>
      <w:r>
        <w:rPr>
          <w:rFonts w:ascii="Georgia" w:cs="Georgia" w:eastAsia="Georgia" w:hAnsi="Georgia"/>
          <w:sz w:val="24"/>
          <w:szCs w:val="24"/>
        </w:rPr>
        <w:t xml:space="preserve">Le protocole A2A, proposé par Google, standardise les interactions entre agents autonomes. Il définit comment les agents se découvrent, négocient leurs capacités, délèguent des tâches et échangent des résultats. L'objectif est de permettre à des agents développés indépendamment de collaborer sans intégration sur mesure.</w:t>
      </w:r>
    </w:p>
    <w:p>
      <w:pPr>
        <w:spacing w:after="200" w:line="276"/>
        <w:jc w:val="both"/>
      </w:pPr>
      <w:r>
        <w:rPr>
          <w:rFonts w:ascii="Georgia" w:cs="Georgia" w:eastAsia="Georgia" w:hAnsi="Georgia"/>
          <w:sz w:val="24"/>
          <w:szCs w:val="24"/>
        </w:rPr>
        <w:t xml:space="preserve">A2A s'appuie sur des concepts clés. L'Agent Card décrit les capacités d'un agent dans un format standardisé : ses compétences, ses interfaces, ses prérequis. La Task Definition formalise une demande de travail avec ses objectifs, contraintes et critères de succès. Le Status Protocol permet de suivre l'avancement et de gérer les interruptions. Le Result Format structure les livrables pour garantir leur exploitabilité par l'agent demandeur.</w:t>
      </w:r>
    </w:p>
    <w:p>
      <w:pPr>
        <w:pStyle w:val="Heading3"/>
      </w:pPr>
      <w:r>
        <w:rPr>
          <w:rFonts w:ascii="Arial" w:cs="Arial" w:eastAsia="Arial" w:hAnsi="Arial"/>
          <w:b/>
          <w:bCs/>
        </w:rPr>
        <w:t xml:space="preserve">Model Context Protocol (MCP)</w:t>
      </w:r>
    </w:p>
    <w:p>
      <w:pPr>
        <w:spacing w:after="200" w:line="276"/>
        <w:jc w:val="both"/>
      </w:pPr>
      <w:r>
        <w:rPr>
          <w:rFonts w:ascii="Georgia" w:cs="Georgia" w:eastAsia="Georgia" w:hAnsi="Georgia"/>
          <w:sz w:val="24"/>
          <w:szCs w:val="24"/>
        </w:rPr>
        <w:t xml:space="preserve">Le Model Context Protocol, développé par Anthropic, se concentre sur l'interaction entre les modèles de langage et leurs sources de contexte — outils, données, services. Il standardise comment un agent accède à des capacités externes de manière sécurisée et cohérente, indépendamment de l'implémentation spécifique de ces capacités.</w:t>
      </w:r>
    </w:p>
    <w:p>
      <w:pPr>
        <w:spacing w:after="200" w:line="276"/>
        <w:jc w:val="both"/>
      </w:pPr>
      <w:r>
        <w:rPr>
          <w:rFonts w:ascii="Georgia" w:cs="Georgia" w:eastAsia="Georgia" w:hAnsi="Georgia"/>
          <w:sz w:val="24"/>
          <w:szCs w:val="24"/>
        </w:rPr>
        <w:t xml:space="preserve">MCP définit trois primitives fondamentales. Les Tools sont des fonctions que l'agent peut invoquer avec des paramètres structurés. Les Resources sont des sources de données que l'agent peut lire. Les Prompts sont des modèles de contexte réutilisables. Cette séparation claire simplifie le développement : un fournisseur de capacité implémente une interface MCP, et tout agent compatible peut l'utiliser.</w:t>
      </w:r>
    </w:p>
    <w:p>
      <w:pPr>
        <w:spacing w:after="200" w:line="276"/>
        <w:jc w:val="both"/>
      </w:pPr>
      <w:r>
        <w:rPr>
          <w:rFonts w:ascii="Georgia" w:cs="Georgia" w:eastAsia="Georgia" w:hAnsi="Georgia"/>
          <w:sz w:val="24"/>
          <w:szCs w:val="24"/>
        </w:rPr>
        <w:t xml:space="preserve">L'architecture MCP distingue les MCP Servers, qui exposent des capacités, et les MCP Clients, typiquement les agents qui consomment ces capacités. Un serveur MCP pour une base de données expose des outils de requête et des ressources de schéma. Un serveur MCP pour un service météo expose des outils de prévision. L'agent client interagit avec ces serveurs via le protocole standardisé.</w:t>
      </w:r>
    </w:p>
    <w:p>
      <w:pPr>
        <w:spacing w:before="300" w:after="200"/>
      </w:pPr>
      <w:r>
        <w:rPr>
          <w:rFonts w:ascii="Arial" w:cs="Arial" w:eastAsia="Arial" w:hAnsi="Arial"/>
          <w:b/>
          <w:bCs/>
          <w:i/>
          <w:iCs/>
          <w:sz w:val="22"/>
          <w:szCs w:val="22"/>
        </w:rPr>
        <w:t xml:space="preserve">Tableau I.15.1 — Comparaison A2A et MCP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A2A (Google)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MCP (Anthropic)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Communication agent-agent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Accès agent-outils/données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Niveau d'abstraction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Tâches et workflows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Outils et ressources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Modèle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Peer-to-peer entre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Client-serveur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 d'usage principal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Orchestration multi-agents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Extension des capacités LLM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Complémentarité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Utilise MCP pour l'outillage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S'intègre dans workflows A2A</w:t>
            </w:r>
          </w:p>
        </w:tc>
      </w:tr>
    </w:tbl>
    <w:p>
      <w:pPr>
        <w:spacing w:before="300"/>
      </w:pPr>
    </w:p>
    <w:p>
      <w:pPr>
        <w:spacing w:after="200" w:line="276"/>
        <w:jc w:val="both"/>
      </w:pPr>
      <w:r>
        <w:rPr>
          <w:rFonts w:ascii="Georgia" w:cs="Georgia" w:eastAsia="Georgia" w:hAnsi="Georgia"/>
          <w:sz w:val="24"/>
          <w:szCs w:val="24"/>
        </w:rPr>
        <w:t xml:space="preserve">Ces protocoles sont complémentaires plutôt que concurrents. MCP standardise l'accès aux capacités ; A2A standardise la collaboration entre agents qui utilisent ces capacités. Une architecture mature utilisera probablement les deux : MCP pour connecter chaque agent à ses outils, A2A pour orchestrer la collaboration entre agents.</w:t>
      </w:r>
    </w:p>
    <w:p>
      <w:pPr>
        <w:pStyle w:val="Heading2"/>
      </w:pPr>
      <w:r>
        <w:rPr>
          <w:rFonts w:ascii="Arial" w:cs="Arial" w:eastAsia="Arial" w:hAnsi="Arial"/>
          <w:b/>
          <w:bCs/>
        </w:rPr>
        <w:t xml:space="preserve">I.15.4 Écosystème des Cadriciels Agentiques</w:t>
      </w:r>
    </w:p>
    <w:p>
      <w:pPr>
        <w:spacing w:after="200" w:line="276"/>
        <w:jc w:val="both"/>
      </w:pPr>
      <w:r>
        <w:rPr>
          <w:rFonts w:ascii="Georgia" w:cs="Georgia" w:eastAsia="Georgia" w:hAnsi="Georgia"/>
          <w:sz w:val="24"/>
          <w:szCs w:val="24"/>
        </w:rPr>
        <w:t xml:space="preserve">Un écosystème riche de cadriciels (frameworks) accélère le développement des systèmes agentiques. Ces outils fournissent des abstractions pour les patterns courants — chaînage de prompts, gestion de mémoire, invocation d'outils, orchestration — permettant aux développeurs de se concentrer sur la logique métier plutôt que sur la plomberie technique.</w:t>
      </w:r>
    </w:p>
    <w:p>
      <w:pPr>
        <w:spacing w:after="200" w:line="276"/>
        <w:jc w:val="both"/>
      </w:pPr>
      <w:r>
        <w:rPr>
          <w:rFonts w:ascii="Georgia" w:cs="Georgia" w:eastAsia="Georgia" w:hAnsi="Georgia"/>
          <w:b w:val="false"/>
          <w:bCs w:val="false"/>
          <w:i w:val="false"/>
          <w:iCs w:val="false"/>
          <w:sz w:val="24"/>
          <w:szCs w:val="24"/>
        </w:rPr>
        <w:t xml:space="preserve"/>
      </w:r>
      <w:r>
        <w:rPr>
          <w:rFonts w:ascii="Georgia" w:cs="Georgia" w:eastAsia="Georgia" w:hAnsi="Georgia"/>
          <w:b/>
          <w:bCs/>
          <w:i/>
          <w:iCs/>
          <w:sz w:val="24"/>
          <w:szCs w:val="24"/>
        </w:rPr>
        <w:t xml:space="preserve">LangChain</w:t>
      </w:r>
      <w:r>
        <w:rPr>
          <w:rFonts w:ascii="Georgia" w:cs="Georgia" w:eastAsia="Georgia" w:hAnsi="Georgia"/>
          <w:b w:val="false"/>
          <w:bCs w:val="false"/>
          <w:i w:val="false"/>
          <w:iCs w:val="false"/>
          <w:sz w:val="24"/>
          <w:szCs w:val="24"/>
        </w:rPr>
        <w:t xml:space="preserve"> est le cadriciel le plus populaire, offrant une abstraction complète pour les applications LLM. Il fournit des connecteurs vers les principaux modèles, une gestion de mémoire flexible, un framework d'outils extensible, et des patterns prédéfinis pour le RAG et les agents. LangGraph étend LangChain pour les workflows complexes modélisés en graphes.</w:t>
      </w:r>
    </w:p>
    <w:p>
      <w:pPr>
        <w:spacing w:after="200" w:line="276"/>
        <w:jc w:val="both"/>
      </w:pPr>
      <w:r>
        <w:rPr>
          <w:rFonts w:ascii="Georgia" w:cs="Georgia" w:eastAsia="Georgia" w:hAnsi="Georgia"/>
          <w:b w:val="false"/>
          <w:bCs w:val="false"/>
          <w:i w:val="false"/>
          <w:iCs w:val="false"/>
          <w:sz w:val="24"/>
          <w:szCs w:val="24"/>
        </w:rPr>
        <w:t xml:space="preserve"/>
      </w:r>
      <w:r>
        <w:rPr>
          <w:rFonts w:ascii="Georgia" w:cs="Georgia" w:eastAsia="Georgia" w:hAnsi="Georgia"/>
          <w:b/>
          <w:bCs/>
          <w:i/>
          <w:iCs/>
          <w:sz w:val="24"/>
          <w:szCs w:val="24"/>
        </w:rPr>
        <w:t xml:space="preserve">LlamaIndex</w:t>
      </w:r>
      <w:r>
        <w:rPr>
          <w:rFonts w:ascii="Georgia" w:cs="Georgia" w:eastAsia="Georgia" w:hAnsi="Georgia"/>
          <w:b w:val="false"/>
          <w:bCs w:val="false"/>
          <w:i w:val="false"/>
          <w:iCs w:val="false"/>
          <w:sz w:val="24"/>
          <w:szCs w:val="24"/>
        </w:rPr>
        <w:t xml:space="preserve"> se spécialise dans l'indexation et la récupération de données pour le RAG. Il excelle dans la gestion de documents complexes, l'indexation multi-modale (texte, tableaux, images), et les stratégies de recherche avancées. Il s'intègre souvent avec LangChain pour les aspects agentiques.</w:t>
      </w:r>
    </w:p>
    <w:p>
      <w:pPr>
        <w:spacing w:after="200" w:line="276"/>
        <w:jc w:val="both"/>
      </w:pPr>
      <w:r>
        <w:rPr>
          <w:rFonts w:ascii="Georgia" w:cs="Georgia" w:eastAsia="Georgia" w:hAnsi="Georgia"/>
          <w:b w:val="false"/>
          <w:bCs w:val="false"/>
          <w:i w:val="false"/>
          <w:iCs w:val="false"/>
          <w:sz w:val="24"/>
          <w:szCs w:val="24"/>
        </w:rPr>
        <w:t xml:space="preserve"/>
      </w:r>
      <w:r>
        <w:rPr>
          <w:rFonts w:ascii="Georgia" w:cs="Georgia" w:eastAsia="Georgia" w:hAnsi="Georgia"/>
          <w:b/>
          <w:bCs/>
          <w:i/>
          <w:iCs/>
          <w:sz w:val="24"/>
          <w:szCs w:val="24"/>
        </w:rPr>
        <w:t xml:space="preserve">AutoGen</w:t>
      </w:r>
      <w:r>
        <w:rPr>
          <w:rFonts w:ascii="Georgia" w:cs="Georgia" w:eastAsia="Georgia" w:hAnsi="Georgia"/>
          <w:b w:val="false"/>
          <w:bCs w:val="false"/>
          <w:i w:val="false"/>
          <w:iCs w:val="false"/>
          <w:sz w:val="24"/>
          <w:szCs w:val="24"/>
        </w:rPr>
        <w:t xml:space="preserve"> de Microsoft se concentre sur les conversations multi-agents. Il facilite la création d'équipes d'agents qui dialoguent pour résoudre des problèmes complexes. Son modèle de programmation par conversation simplifie l'orchestration de workflows collaboratifs.</w:t>
      </w:r>
    </w:p>
    <w:p>
      <w:pPr>
        <w:spacing w:after="200" w:line="276"/>
        <w:jc w:val="both"/>
      </w:pPr>
      <w:r>
        <w:rPr>
          <w:rFonts w:ascii="Georgia" w:cs="Georgia" w:eastAsia="Georgia" w:hAnsi="Georgia"/>
          <w:b w:val="false"/>
          <w:bCs w:val="false"/>
          <w:i w:val="false"/>
          <w:iCs w:val="false"/>
          <w:sz w:val="24"/>
          <w:szCs w:val="24"/>
        </w:rPr>
        <w:t xml:space="preserve"/>
      </w:r>
      <w:r>
        <w:rPr>
          <w:rFonts w:ascii="Georgia" w:cs="Georgia" w:eastAsia="Georgia" w:hAnsi="Georgia"/>
          <w:b/>
          <w:bCs/>
          <w:i/>
          <w:iCs/>
          <w:sz w:val="24"/>
          <w:szCs w:val="24"/>
        </w:rPr>
        <w:t xml:space="preserve">CrewAI</w:t>
      </w:r>
      <w:r>
        <w:rPr>
          <w:rFonts w:ascii="Georgia" w:cs="Georgia" w:eastAsia="Georgia" w:hAnsi="Georgia"/>
          <w:b w:val="false"/>
          <w:bCs w:val="false"/>
          <w:i w:val="false"/>
          <w:iCs w:val="false"/>
          <w:sz w:val="24"/>
          <w:szCs w:val="24"/>
        </w:rPr>
        <w:t xml:space="preserve"> adopte une métaphore organisationnelle : des « équipes » d'agents avec des rôles définis collaborent sur des « missions ». Cette approche intuitive facilite la conception de systèmes multi-agents par des non-spécialistes.</w:t>
      </w:r>
    </w:p>
    <w:p>
      <w:pPr>
        <w:spacing w:after="200" w:line="276"/>
        <w:jc w:val="both"/>
      </w:pPr>
      <w:r>
        <w:rPr>
          <w:rFonts w:ascii="Georgia" w:cs="Georgia" w:eastAsia="Georgia" w:hAnsi="Georgia"/>
          <w:sz w:val="24"/>
          <w:szCs w:val="24"/>
        </w:rPr>
        <w:t xml:space="preserve">Le choix du cadriciel dépend du cas d'usage. Pour le RAG simple, LlamaIndex suffit. Pour les agents conversationnels, LangChain offre un bon équilibre. Pour les workflows complexes, LangGraph ou Prefect. Pour les équipes d'agents, AutoGen ou CrewAI. Souvent, une combinaison de ces outils est nécessaire.</w:t>
      </w:r>
    </w:p>
    <w:p>
      <w:pPr>
        <w:pStyle w:val="Heading2"/>
      </w:pPr>
      <w:r>
        <w:rPr>
          <w:rFonts w:ascii="Arial" w:cs="Arial" w:eastAsia="Arial" w:hAnsi="Arial"/>
          <w:b/>
          <w:bCs/>
        </w:rPr>
        <w:t xml:space="preserve">I.15.5 Conclusion : Construire les Systèmes Cognitifs</w:t>
      </w:r>
    </w:p>
    <w:p>
      <w:pPr>
        <w:spacing w:after="200" w:line="276"/>
        <w:jc w:val="both"/>
      </w:pPr>
      <w:r>
        <w:rPr>
          <w:rFonts w:ascii="Georgia" w:cs="Georgia" w:eastAsia="Georgia" w:hAnsi="Georgia"/>
          <w:sz w:val="24"/>
          <w:szCs w:val="24"/>
        </w:rPr>
        <w:t xml:space="preserve">L'ingénierie des systèmes cognitifs formalise les pratiques de construction des agents. Le prompt engineering et le RAG avancé optimisent le contexte qui nourrit le raisonnement. La modélisation en DAG structure les workflows complexes. Les protocoles A2A et MCP standardisent les interactions. Les cadriciels accélèrent le développement en fournissant des abstractions éprouvées.</w:t>
      </w:r>
    </w:p>
    <w:p>
      <w:pPr>
        <w:spacing w:after="200" w:line="276"/>
        <w:jc w:val="both"/>
      </w:pPr>
      <w:r>
        <w:rPr>
          <w:rFonts w:ascii="Georgia" w:cs="Georgia" w:eastAsia="Georgia" w:hAnsi="Georgia"/>
          <w:sz w:val="24"/>
          <w:szCs w:val="24"/>
        </w:rPr>
        <w:t xml:space="preserve">Cette discipline évolue rapidement. Les meilleures pratiques d'aujourd'hui seront obsolètes demain. Mais les principes fondamentaux — qualité du contexte, structure des workflows, standardisation des interfaces — resteront pertinents. Les organisations qui investissent dans ces compétences d'ingénierie se positionnent pour exploiter les évolutions futures des technologies agentiques.</w:t>
      </w:r>
    </w:p>
    <w:p>
      <w:pPr>
        <w:pStyle w:val="Heading2"/>
      </w:pPr>
      <w:r>
        <w:rPr>
          <w:rFonts w:ascii="Arial" w:cs="Arial" w:eastAsia="Arial" w:hAnsi="Arial"/>
          <w:b/>
          <w:bCs/>
        </w:rPr>
        <w:t xml:space="preserve">I.15.6 Résumé</w:t>
      </w:r>
    </w:p>
    <w:p>
      <w:pPr>
        <w:spacing w:after="200" w:line="276"/>
        <w:jc w:val="both"/>
      </w:pPr>
      <w:r>
        <w:rPr>
          <w:rFonts w:ascii="Georgia" w:cs="Georgia" w:eastAsia="Georgia" w:hAnsi="Georgia"/>
          <w:sz w:val="24"/>
          <w:szCs w:val="24"/>
        </w:rPr>
        <w:t xml:space="preserve">L'ingénierie du contexte combine prompt engineering structuré (system prompt, instructions d'outils, prompt dynamique) et RAG avancé (chunking sémantique, recherche hybride, RAG itératif). La qualité du contexte détermine directement la performance de l'agent et sa capacité à éviter les hallucinations.</w:t>
      </w:r>
    </w:p>
    <w:p>
      <w:pPr>
        <w:spacing w:after="200" w:line="276"/>
        <w:jc w:val="both"/>
      </w:pPr>
      <w:r>
        <w:rPr>
          <w:rFonts w:ascii="Georgia" w:cs="Georgia" w:eastAsia="Georgia" w:hAnsi="Georgia"/>
          <w:sz w:val="24"/>
          <w:szCs w:val="24"/>
        </w:rPr>
        <w:t xml:space="preserve">Les workflows cognitifs se modélisent comme des graphes acycliques dirigés (DAG) avec des nœuds de raisonnement, d'action et de contrôle. Cette structure apporte prévisibilité et traçabilité. Des outils comme LangGraph facilitent la définition et l'exécution de ces workflows.</w:t>
      </w:r>
    </w:p>
    <w:p>
      <w:pPr>
        <w:spacing w:after="200" w:line="276"/>
        <w:jc w:val="both"/>
      </w:pPr>
      <w:r>
        <w:rPr>
          <w:rFonts w:ascii="Georgia" w:cs="Georgia" w:eastAsia="Georgia" w:hAnsi="Georgia"/>
          <w:sz w:val="24"/>
          <w:szCs w:val="24"/>
        </w:rPr>
        <w:t xml:space="preserve">Les protocoles A2A (Google) et MCP (Anthropic) standardisent respectivement la collaboration agent-agent et l'accès aux outils. Ces protocoles complémentaires posent les bases de l'interopérabilité agentique. L'écosystème des cadriciels — LangChain, LlamaIndex, AutoGen, CrewAI — accélère le développement avec des abstractions adaptées à différents cas d'usage.</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Modèle Opérationnel et la Symbiose Humain-Agent</w:t>
      </w:r>
      <w:r>
        <w:rPr>
          <w:rFonts w:ascii="Georgia" w:cs="Georgia" w:eastAsia="Georgia" w:hAnsi="Georgia"/>
          <w:b w:val="false"/>
          <w:bCs w:val="false"/>
          <w:i/>
          <w:iCs/>
          <w:sz w:val="24"/>
          <w:szCs w:val="24"/>
        </w:rPr>
        <w:t xml:space="preserve">, explore la dimension organisationnelle de la transformation agentique. Comment les rôles humains évoluent-ils ? Quel équilibre trouver entre supervision et autonomie ? Comment les organisations se restructurent-elles autour de cette nouvelle force de travail ? Ces questions dépassent la technique pour toucher au cœur de la transformation d'entreprise.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4 : L'Ère Agentique et Gouvernance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2026-01-11T10:28:21.074Z</dcterms:created>
  <dcterms:modified xsi:type="dcterms:W3CDTF">2026-01-11T10:28:21.075Z</dcterms:modified>
</cp:coreProperties>
</file>

<file path=docProps/custom.xml><?xml version="1.0" encoding="utf-8"?>
<Properties xmlns="http://schemas.openxmlformats.org/officeDocument/2006/custom-properties" xmlns:vt="http://schemas.openxmlformats.org/officeDocument/2006/docPropsVTypes"/>
</file>