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666666"/>
          <w:sz w:val="28"/>
          <w:szCs w:val="28"/>
        </w:rPr>
        <w:t xml:space="preserve">CHAPITRE I.1</w:t>
      </w:r>
    </w:p>
    <w:p>
      <w:pPr>
        <w:pStyle w:val="Heading1"/>
        <w:spacing w:after="400"/>
        <w:jc w:val="center"/>
      </w:pPr>
      <w:r>
        <w:rPr>
          <w:rFonts w:ascii="Arial" w:cs="Arial" w:eastAsia="Arial" w:hAnsi="Arial"/>
          <w:b/>
          <w:bCs/>
          <w:sz w:val="36"/>
          <w:szCs w:val="36"/>
        </w:rPr>
        <w:t xml:space="preserve">Crise de l'Intégration Systémique à l'Ère de la Complexité</w:t>
      </w:r>
    </w:p>
    <w:p>
      <w:pPr>
        <w:spacing w:before="200" w:after="400"/>
        <w:ind w:left="2880"/>
        <w:jc w:val="right"/>
      </w:pPr>
      <w:r>
        <w:rPr>
          <w:rFonts w:ascii="Georgia" w:cs="Georgia" w:eastAsia="Georgia" w:hAnsi="Georgia"/>
          <w:i/>
          <w:iCs/>
          <w:sz w:val="22"/>
          <w:szCs w:val="22"/>
        </w:rPr>
        <w:t xml:space="preserve">« Nous façonnons nos outils, puis nos outils nous façonnent. »
— Marshall McLuhan</w:t>
      </w:r>
    </w:p>
    <w:p>
      <w:pPr>
        <w:spacing w:after="200" w:line="276"/>
        <w:jc w:val="both"/>
      </w:pPr>
      <w:r>
        <w:rPr>
          <w:rFonts w:ascii="Georgia" w:cs="Georgia" w:eastAsia="Georgia" w:hAnsi="Georgia"/>
          <w:sz w:val="24"/>
          <w:szCs w:val="24"/>
        </w:rPr>
        <w:t xml:space="preserve">L'intégration des systèmes d'information constitue l'un des défis les plus persistants et les plus coûteux de l'informatique d'entreprise. Depuis l'apparition des premiers ordinateurs dans les organisations, chaque génération technologique a promis de résoudre définitivement ce problème fondamental : comment faire collaborer des systèmes conçus indépendamment pour servir des objectifs d'affaires communs ? Ce premier chapitre dresse le diagnostic d'une crise systémique qui dépasse largement la dimension technique pour affecter l'organisation dans sa capacité même à évoluer.</w:t>
      </w:r>
    </w:p>
    <w:p>
      <w:pPr>
        <w:spacing w:after="200" w:line="276"/>
        <w:jc w:val="both"/>
      </w:pPr>
      <w:r>
        <w:rPr>
          <w:rFonts w:ascii="Georgia" w:cs="Georgia" w:eastAsia="Georgia" w:hAnsi="Georgia"/>
          <w:sz w:val="24"/>
          <w:szCs w:val="24"/>
        </w:rPr>
        <w:t xml:space="preserve">Nous examinerons successivement l'archéologie de l'intégration pour comprendre comment les solutions d'hier sont devenues les problèmes d'aujourd'hui, la fragmentation contemporaine des systèmes d'information dans un paysage hybride, et enfin la dimension humaine trop souvent négligée de cette crise. Ce diagnostic posera les bases de la solution systémique que nous développerons dans les chapitres suivants.</w:t>
      </w:r>
    </w:p>
    <w:p>
      <w:pPr>
        <w:pStyle w:val="Heading2"/>
      </w:pPr>
      <w:r>
        <w:rPr>
          <w:rFonts w:ascii="Arial" w:cs="Arial" w:eastAsia="Arial" w:hAnsi="Arial"/>
          <w:b/>
          <w:bCs/>
        </w:rPr>
        <w:t xml:space="preserve">I.1.1 L'Archéologie de l'Intégration : Un Cycle de Promesses et de Déceptions</w:t>
      </w:r>
    </w:p>
    <w:p>
      <w:pPr>
        <w:pStyle w:val="Heading3"/>
      </w:pPr>
      <w:r>
        <w:rPr>
          <w:rFonts w:ascii="Arial" w:cs="Arial" w:eastAsia="Arial" w:hAnsi="Arial"/>
          <w:b/>
          <w:bCs/>
        </w:rPr>
        <w:t xml:space="preserve">I.1.1.1 L'Ère des Silos et le « Plat de Spaghettis » Originel</w:t>
      </w:r>
    </w:p>
    <w:p>
      <w:pPr>
        <w:spacing w:after="200" w:line="276"/>
        <w:jc w:val="both"/>
      </w:pPr>
      <w:r>
        <w:rPr>
          <w:rFonts w:ascii="Georgia" w:cs="Georgia" w:eastAsia="Georgia" w:hAnsi="Georgia"/>
          <w:sz w:val="24"/>
          <w:szCs w:val="24"/>
        </w:rPr>
        <w:t xml:space="preserve">Les années 1970 et 1980 ont vu la prolifération des premiers systèmes informatiques départementaux. Chaque fonction de l'entreprise — comptabilité, production, ressources humaines, ventes — acquérait ses propres solutions, souvent développées sur mesure ou adaptées de progiciels naissants. Ces systèmes répondaient efficacement aux besoins locaux, mais ils opéraient en silos hermétiques, ignorant superbement l'existence de leurs voisins.</w:t>
      </w:r>
    </w:p>
    <w:p>
      <w:pPr>
        <w:spacing w:after="200" w:line="276"/>
        <w:jc w:val="both"/>
      </w:pPr>
      <w:r>
        <w:rPr>
          <w:rFonts w:ascii="Georgia" w:cs="Georgia" w:eastAsia="Georgia" w:hAnsi="Georgia"/>
          <w:sz w:val="24"/>
          <w:szCs w:val="24"/>
        </w:rPr>
        <w:t xml:space="preserve">Lorsque les besoins de communication entre silos sont devenus incontournables, les équipes informatiques ont développé des interfaces point-à-point. Une extraction de fichier ici, un transfert FTP là, une base de données partagée ailleurs. Ces connexions ad hoc, créées dans l'urgence pour répondre à des besoins immédiats, se sont multipliées de manière exponentielle. Le résultat, immortalisé par la métaphore du « plat de spaghettis », était un enchevêtrement de dépendances invisibles où la modification d'un système pouvait provoquer des effets en cascade imprévisibles.</w:t>
      </w:r>
    </w:p>
    <w:p>
      <w:pPr>
        <w:spacing w:after="200" w:line="276"/>
        <w:jc w:val="both"/>
      </w:pPr>
      <w:r>
        <w:rPr>
          <w:rFonts w:ascii="Georgia" w:cs="Georgia" w:eastAsia="Georgia" w:hAnsi="Georgia"/>
          <w:sz w:val="24"/>
          <w:szCs w:val="24"/>
        </w:rPr>
        <w:t xml:space="preserve">La complexité combinatoire explique cette explosion. Avec n systèmes indépendants, le nombre de connexions potentielles point-à-point est de l'ordre de n². Une entreprise de taille moyenne avec cinquante applications critiques fait face à plus de mille deux cents connexions possibles. En pratique, même si toutes ne sont pas réalisées, la maintenance de plusieurs centaines de connexions devient rapidement ingérable. Chaque interface possède sa propre logique, son propre format de données, ses propres règles de transformation — autant de connaissances tacites qui disparaissent avec le turnover des équipes.</w:t>
      </w:r>
    </w:p>
    <w:p>
      <w:pPr>
        <w:pStyle w:val="Heading3"/>
      </w:pPr>
      <w:r>
        <w:rPr>
          <w:rFonts w:ascii="Arial" w:cs="Arial" w:eastAsia="Arial" w:hAnsi="Arial"/>
          <w:b/>
          <w:bCs/>
        </w:rPr>
        <w:t xml:space="preserve">I.1.1.2 La Promesse Centralisatrice : EAI, SOA et le Monolithe de l'ESB</w:t>
      </w:r>
    </w:p>
    <w:p>
      <w:pPr>
        <w:spacing w:after="200" w:line="276"/>
        <w:jc w:val="both"/>
      </w:pPr>
      <w:r>
        <w:rPr>
          <w:rFonts w:ascii="Georgia" w:cs="Georgia" w:eastAsia="Georgia" w:hAnsi="Georgia"/>
          <w:sz w:val="24"/>
          <w:szCs w:val="24"/>
        </w:rPr>
        <w:t xml:space="preserve">Face au chaos du point-à-point, les années 1990 ont vu émerger l'Enterprise Application Integration (EAI). La promesse était séduisante : centraliser toutes les interfaces dans un hub unique qui servirait d'intermédiaire universel. Au lieu de n² connexions, n connexions suffiraient — chaque système ne dialoguant qu'avec le hub central. Les éditeurs comme TIBCO, webMethods et IBM ont prospéré en vendant cette vision d'ordre retrouvé.</w:t>
      </w:r>
    </w:p>
    <w:p>
      <w:pPr>
        <w:spacing w:after="200" w:line="276"/>
        <w:jc w:val="both"/>
      </w:pPr>
      <w:r>
        <w:rPr>
          <w:rFonts w:ascii="Georgia" w:cs="Georgia" w:eastAsia="Georgia" w:hAnsi="Georgia"/>
          <w:sz w:val="24"/>
          <w:szCs w:val="24"/>
        </w:rPr>
        <w:t xml:space="preserve">L'EAI a effectivement apporté des bénéfices tangibles. La centralisation a permis de standardiser les formats d'échange, de tracer les flux de données et de mutualiser les compétences d'intégration. Cependant, elle a aussi créé un nouveau type de problème : le goulet d'étranglement organisationnel. L'équipe d'intégration, désormais passage obligé de tout échange entre systèmes, est devenue un facteur limitant. Les files d'attente de demandes s'allongeaient, les délais de mise en œuvre explosaient, et les équipes métier, frustrées, recommençaient à créer des connexions directes « en attendant ».</w:t>
      </w:r>
    </w:p>
    <w:p>
      <w:pPr>
        <w:spacing w:after="200" w:line="276"/>
        <w:jc w:val="both"/>
      </w:pPr>
      <w:r>
        <w:rPr>
          <w:rFonts w:ascii="Georgia" w:cs="Georgia" w:eastAsia="Georgia" w:hAnsi="Georgia"/>
          <w:sz w:val="24"/>
          <w:szCs w:val="24"/>
        </w:rPr>
        <w:t xml:space="preserve">Les années 2000 ont tenté de corriger ces travers avec l'Architecture Orientée Services (SOA) et son incarnation technique, l'Enterprise Service Bus (ESB). L'idée centrale était de découpler les systèmes en exposant leurs fonctionnalités sous forme de services réutilisables, accessibles via des protocoles standardisés comme SOAP et orchestrables selon des processus métier formalisés en BPEL. La promesse de réutilisation et d'agilité a séduit les directions informatiques du monde entier.</w:t>
      </w:r>
    </w:p>
    <w:p>
      <w:pPr>
        <w:spacing w:after="200" w:line="276"/>
        <w:jc w:val="both"/>
      </w:pPr>
      <w:r>
        <w:rPr>
          <w:rFonts w:ascii="Georgia" w:cs="Georgia" w:eastAsia="Georgia" w:hAnsi="Georgia"/>
          <w:sz w:val="24"/>
          <w:szCs w:val="24"/>
        </w:rPr>
        <w:t xml:space="preserve">La réalité s'est avérée plus nuancée. Les projets SOA ont souvent dérivé vers une complexité administrative considérable. La gouvernance des services — catalogage, versionnement, gestion des contrats — a engendré des bureaucraties informatiques pléthoriques. Les ESB, conçus pour découpler, sont paradoxalement devenus des points de couplage centraux dont la moindre modification impactait l'ensemble de l'écosystème. Pire, les équipes ont découvert que créer des services véritablement réutilisables exigeait un niveau d'abstraction et une connaissance des besoins futurs que personne ne possédait.</w:t>
      </w:r>
    </w:p>
    <w:p>
      <w:pPr>
        <w:pStyle w:val="Heading3"/>
      </w:pPr>
      <w:r>
        <w:rPr>
          <w:rFonts w:ascii="Arial" w:cs="Arial" w:eastAsia="Arial" w:hAnsi="Arial"/>
          <w:b/>
          <w:bCs/>
        </w:rPr>
        <w:t xml:space="preserve">I.1.1.3 La Dette Systémique : Quand les Solutions Deviennent le Problème</w:t>
      </w:r>
    </w:p>
    <w:p>
      <w:pPr>
        <w:spacing w:after="200" w:line="276"/>
        <w:jc w:val="both"/>
      </w:pPr>
      <w:r>
        <w:rPr>
          <w:rFonts w:ascii="Georgia" w:cs="Georgia" w:eastAsia="Georgia" w:hAnsi="Georgia"/>
          <w:sz w:val="24"/>
          <w:szCs w:val="24"/>
        </w:rPr>
        <w:t xml:space="preserve">Chaque génération technologique a ainsi laissé des sédiments dans le paysage applicatif. Les interfaces point-à-point des années 1980 coexistent avec les hubs EAI des années 1990, les ESB des années 2000 et les API REST des années 2010. Cette stratification n'est pas qu'une curiosité archéologique ; elle représente une dette systémique colossale que les organisations portent comme un fardeau croissant.</w:t>
      </w:r>
    </w:p>
    <w:p>
      <w:pPr>
        <w:spacing w:after="200" w:line="276"/>
        <w:jc w:val="both"/>
      </w:pPr>
      <w:r>
        <w:rPr>
          <w:rFonts w:ascii="Georgia" w:cs="Georgia" w:eastAsia="Georgia" w:hAnsi="Georgia"/>
          <w:sz w:val="24"/>
          <w:szCs w:val="24"/>
        </w:rPr>
        <w:t xml:space="preserve">Le concept de dette technique, popularisé par Ward Cunningham, décrit l'accumulation de compromis de conception qui, à l'instar d'un emprunt financier, génère des intérêts sous forme de complexité et de rigidité. La dette systémique étend cette notion à l'échelle de l'écosystème applicatif tout entier. Elle ne se limite pas au code mal écrit ou aux raccourcis de développement ; elle englobe les choix architecturaux, les dépendances entre systèmes, les formats de données obsolètes et les compétences perdues.</w:t>
      </w:r>
    </w:p>
    <w:p>
      <w:pPr>
        <w:spacing w:after="200" w:line="276"/>
        <w:jc w:val="both"/>
      </w:pPr>
      <w:r>
        <w:rPr>
          <w:rFonts w:ascii="Georgia" w:cs="Georgia" w:eastAsia="Georgia" w:hAnsi="Georgia"/>
          <w:sz w:val="24"/>
          <w:szCs w:val="24"/>
        </w:rPr>
        <w:t xml:space="preserve">Les symptômes de cette dette sont familiers à tout architecte d'entreprise : des temps de mise en marché qui s'allongent inexorablement, des coûts de maintenance qui dévorent les budgets d'innovation, des pannes en cascade dont les causes restent mystérieuses, et une résistance croissante au changement. Selon les analyses du secteur, les grandes organisations consacrent typiquement entre soixante et quatre-vingts pour cent de leur budget informatique à la maintenance de l'existant, ne laissant qu'une fraction pour les initiatives stratégiques.</w:t>
      </w:r>
    </w:p>
    <w:p>
      <w:pPr>
        <w:pStyle w:val="Heading2"/>
      </w:pPr>
      <w:r>
        <w:rPr>
          <w:rFonts w:ascii="Arial" w:cs="Arial" w:eastAsia="Arial" w:hAnsi="Arial"/>
          <w:b/>
          <w:bCs/>
        </w:rPr>
        <w:t xml:space="preserve">I.1.2 La Fragmentation Contemporaine du Système d'Information</w:t>
      </w:r>
    </w:p>
    <w:p>
      <w:pPr>
        <w:pStyle w:val="Heading3"/>
      </w:pPr>
      <w:r>
        <w:rPr>
          <w:rFonts w:ascii="Arial" w:cs="Arial" w:eastAsia="Arial" w:hAnsi="Arial"/>
          <w:b/>
          <w:bCs/>
        </w:rPr>
        <w:t xml:space="preserve">I.1.2.1 Le Paysage Hybride : Cohabitation du Legacy, du Cloud et du SaaS</w:t>
      </w:r>
    </w:p>
    <w:p>
      <w:pPr>
        <w:spacing w:after="200" w:line="276"/>
        <w:jc w:val="both"/>
      </w:pPr>
      <w:r>
        <w:rPr>
          <w:rFonts w:ascii="Georgia" w:cs="Georgia" w:eastAsia="Georgia" w:hAnsi="Georgia"/>
          <w:sz w:val="24"/>
          <w:szCs w:val="24"/>
        </w:rPr>
        <w:t xml:space="preserve">Le paysage applicatif contemporain présente une hétérogénéité sans précédent. Les systèmes patrimoniaux — ces mainframes COBOL qui traitent encore les transactions bancaires, ces applications client-serveur qui gèrent la production industrielle — demeurent en opération des décennies après leur conception initiale. Leur remplacement, toujours annoncé, se heurte à des obstacles combinés : coût prohibitif, risque opérationnel et perte de connaissance sur leur fonctionnement exact.</w:t>
      </w:r>
    </w:p>
    <w:p>
      <w:pPr>
        <w:spacing w:after="200" w:line="276"/>
        <w:jc w:val="both"/>
      </w:pPr>
      <w:r>
        <w:rPr>
          <w:rFonts w:ascii="Georgia" w:cs="Georgia" w:eastAsia="Georgia" w:hAnsi="Georgia"/>
          <w:sz w:val="24"/>
          <w:szCs w:val="24"/>
        </w:rPr>
        <w:t xml:space="preserve">À ces systèmes patrimoniaux s'ajoute désormais l'infrastructure infonuagique (cloud) dans ses multiples déclinaisons. L'Infrastructure as a Service (IaaS) permet de déployer des machines virtuelles à la demande. La Platform as a Service (PaaS) offre des environnements d'exécution gérés. Les bases de données, les files de messages, les services d'intelligence artificielle sont consommés comme des commodités. Les grandes organisations opèrent typiquement dans plusieurs nuages — AWS, Azure, Google Cloud — auxquels s'ajoutent des environnements privés pour les données sensibles.</w:t>
      </w:r>
    </w:p>
    <w:p>
      <w:pPr>
        <w:spacing w:after="200" w:line="276"/>
        <w:jc w:val="both"/>
      </w:pPr>
      <w:r>
        <w:rPr>
          <w:rFonts w:ascii="Georgia" w:cs="Georgia" w:eastAsia="Georgia" w:hAnsi="Georgia"/>
          <w:sz w:val="24"/>
          <w:szCs w:val="24"/>
        </w:rPr>
        <w:t xml:space="preserve">La prolifération du Software as a Service (SaaS) constitue peut-être le facteur de fragmentation le plus significatif de la dernière décennie. Salesforce pour la relation client, Workday pour les ressources humaines, ServiceNow pour les services informatiques, Slack pour la communication — chaque fonction métier dispose désormais de solutions SaaS spécialisées, adoptées souvent à l'initiative des équipes métier elles-mêmes. Une grande entreprise peut facilement compter plusieurs centaines d'applications SaaS, chacune constituant un silo de données et de processus.</w:t>
      </w:r>
    </w:p>
    <w:p>
      <w:pPr>
        <w:pStyle w:val="Heading3"/>
      </w:pPr>
      <w:r>
        <w:rPr>
          <w:rFonts w:ascii="Arial" w:cs="Arial" w:eastAsia="Arial" w:hAnsi="Arial"/>
          <w:b/>
          <w:bCs/>
        </w:rPr>
        <w:t xml:space="preserve">I.1.2.2 La Nouvelle Frontière : La Collision des Mondes TI et TO</w:t>
      </w:r>
    </w:p>
    <w:p>
      <w:pPr>
        <w:spacing w:after="200" w:line="276"/>
        <w:jc w:val="both"/>
      </w:pPr>
      <w:r>
        <w:rPr>
          <w:rFonts w:ascii="Georgia" w:cs="Georgia" w:eastAsia="Georgia" w:hAnsi="Georgia"/>
          <w:sz w:val="24"/>
          <w:szCs w:val="24"/>
        </w:rPr>
        <w:t xml:space="preserve">Une nouvelle frontière d'intégration émerge avec la convergence des technologies de l'information (TI) et des technologies opérationnelles (TO). Les technologies opérationnelles — systèmes SCADA, automates programmables, capteurs industriels — ont longtemps évolué dans un univers séparé, avec leurs propres protocoles, leurs propres cycles de vie et leurs propres équipes. L'avènement de l'Industrie 4.0 et de l'Internet des Objets (IoT) provoque la collision de ces deux mondes.</w:t>
      </w:r>
    </w:p>
    <w:p>
      <w:pPr>
        <w:spacing w:after="200" w:line="276"/>
        <w:jc w:val="both"/>
      </w:pPr>
      <w:r>
        <w:rPr>
          <w:rFonts w:ascii="Georgia" w:cs="Georgia" w:eastAsia="Georgia" w:hAnsi="Georgia"/>
          <w:sz w:val="24"/>
          <w:szCs w:val="24"/>
        </w:rPr>
        <w:t xml:space="preserve">Cette convergence TI/TO soulève des défis inédits. Les échelles temporelles diffèrent radicalement : les systèmes informatiques de gestion fonctionnent en secondes ou minutes, les systèmes industriels en millisecondes. Les exigences de disponibilité divergent : une interruption de quelques secondes est acceptable pour un système de facturation, catastrophique pour un processus de fabrication. Les cultures professionnelles s'affrontent : les informaticiens privilégient l'évolutivité et l'agilité, les automaticiens la stabilité et la prédictibilité.</w:t>
      </w:r>
    </w:p>
    <w:p>
      <w:pPr>
        <w:spacing w:after="200" w:line="276"/>
        <w:jc w:val="both"/>
      </w:pPr>
      <w:r>
        <w:rPr>
          <w:rFonts w:ascii="Georgia" w:cs="Georgia" w:eastAsia="Georgia" w:hAnsi="Georgia"/>
          <w:sz w:val="24"/>
          <w:szCs w:val="24"/>
        </w:rPr>
        <w:t xml:space="preserve">Les implications en matière de sécurité sont particulièrement préoccupantes. Les systèmes opérationnels, conçus à une époque où la connectivité était limitée, présentent des vulnérabilités que les attaquants exploitent activement. L'intégration TI/TO étend la surface d'attaque de l'entreprise aux équipements physiques, avec des conséquences potentiellement graves pour la sécurité des personnes et des infrastructures critiques.</w:t>
      </w:r>
    </w:p>
    <w:p>
      <w:pPr>
        <w:pStyle w:val="Heading3"/>
      </w:pPr>
      <w:r>
        <w:rPr>
          <w:rFonts w:ascii="Arial" w:cs="Arial" w:eastAsia="Arial" w:hAnsi="Arial"/>
          <w:b/>
          <w:bCs/>
        </w:rPr>
        <w:t xml:space="preserve">I.1.2.3 L'Accélération Temporelle : Du Big Data au Fast Data</w:t>
      </w:r>
    </w:p>
    <w:p>
      <w:pPr>
        <w:spacing w:after="200" w:line="276"/>
        <w:jc w:val="both"/>
      </w:pPr>
      <w:r>
        <w:rPr>
          <w:rFonts w:ascii="Georgia" w:cs="Georgia" w:eastAsia="Georgia" w:hAnsi="Georgia"/>
          <w:sz w:val="24"/>
          <w:szCs w:val="24"/>
        </w:rPr>
        <w:t xml:space="preserve">La révolution du Big Data des années 2010 a transformé la relation des organisations à leurs données. Les data lakes, les architectures lambda, les outils comme Hadoop et Spark ont permis de stocker et d'analyser des volumes de données auparavant inimaginables. Cependant, cette première vague était essentiellement rétrospective : collecter massivement, stocker indéfiniment, analyser périodiquement.</w:t>
      </w:r>
    </w:p>
    <w:p>
      <w:pPr>
        <w:spacing w:after="200" w:line="276"/>
        <w:jc w:val="both"/>
      </w:pPr>
      <w:r>
        <w:rPr>
          <w:rFonts w:ascii="Georgia" w:cs="Georgia" w:eastAsia="Georgia" w:hAnsi="Georgia"/>
          <w:sz w:val="24"/>
          <w:szCs w:val="24"/>
        </w:rPr>
        <w:t xml:space="preserve">L'exigence actuelle est celle du Fast Data : traiter les données en temps réel, au moment même de leur génération, pour déclencher des actions immédiates. La détection de fraude doit intervenir pendant la transaction, pas après. La personnalisation d'une offre doit s'effectuer pendant la navigation du client, pas lors de sa prochaine visite. L'optimisation d'un processus industriel doit s'ajuster en continu, pas lors de la maintenance planifiée.</w:t>
      </w:r>
    </w:p>
    <w:p>
      <w:pPr>
        <w:spacing w:after="200" w:line="276"/>
        <w:jc w:val="both"/>
      </w:pPr>
      <w:r>
        <w:rPr>
          <w:rFonts w:ascii="Georgia" w:cs="Georgia" w:eastAsia="Georgia" w:hAnsi="Georgia"/>
          <w:sz w:val="24"/>
          <w:szCs w:val="24"/>
        </w:rPr>
        <w:t xml:space="preserve">Cette accélération temporelle impose de nouvelles contraintes aux architectures d'intégration. Les approches batch traditionnelles — extraction nocturne, transformation différée, chargement périodique — deviennent insuffisantes. Les plateformes de streaming comme Apache Kafka, développées initialement par LinkedIn et désormais au cœur de l'offre Confluent, permettent de capturer et de propager les événements métier en temps réel. Mais leur adoption requiert une refonte profonde des processus d'intégration établis.</w:t>
      </w:r>
    </w:p>
    <w:p>
      <w:pPr>
        <w:pStyle w:val="Heading2"/>
      </w:pPr>
      <w:r>
        <w:rPr>
          <w:rFonts w:ascii="Arial" w:cs="Arial" w:eastAsia="Arial" w:hAnsi="Arial"/>
          <w:b/>
          <w:bCs/>
        </w:rPr>
        <w:t xml:space="preserve">I.1.3 La Dimension Humaine de la Crise : Dette Cognitive et Épuisement Organisationnel</w:t>
      </w:r>
    </w:p>
    <w:p>
      <w:pPr>
        <w:pStyle w:val="Heading3"/>
      </w:pPr>
      <w:r>
        <w:rPr>
          <w:rFonts w:ascii="Arial" w:cs="Arial" w:eastAsia="Arial" w:hAnsi="Arial"/>
          <w:b/>
          <w:bCs/>
        </w:rPr>
        <w:t xml:space="preserve">I.1.3.1 Au-delà de la Dette Technique : L'Émergence de la Dette Cognitive</w:t>
      </w:r>
    </w:p>
    <w:p>
      <w:pPr>
        <w:spacing w:after="200" w:line="276"/>
        <w:jc w:val="both"/>
      </w:pPr>
      <w:r>
        <w:rPr>
          <w:rFonts w:ascii="Georgia" w:cs="Georgia" w:eastAsia="Georgia" w:hAnsi="Georgia"/>
          <w:sz w:val="24"/>
          <w:szCs w:val="24"/>
        </w:rPr>
        <w:t xml:space="preserve">La dette technique trouve son pendant humain dans ce que nous appelons la dette cognitive. Elle désigne l'accumulation de complexité qui dépasse la capacité de compréhension des équipes chargées de maintenir et faire évoluer les systèmes. Un développeur senior peut maîtriser mentalement les interactions entre une dizaine de composants ; au-delà de plusieurs dizaines, la compréhension devient fragmentaire ; au-delà de plusieurs centaines, elle devient illusoire.</w:t>
      </w:r>
    </w:p>
    <w:p>
      <w:pPr>
        <w:spacing w:after="200" w:line="276"/>
        <w:jc w:val="both"/>
      </w:pPr>
      <w:r>
        <w:rPr>
          <w:rFonts w:ascii="Georgia" w:cs="Georgia" w:eastAsia="Georgia" w:hAnsi="Georgia"/>
          <w:sz w:val="24"/>
          <w:szCs w:val="24"/>
        </w:rPr>
        <w:t xml:space="preserve">La dette cognitive se manifeste par des symptômes caractéristiques. Les équipes développent une « peur du changement » où même les modifications mineures sont évitées par crainte d'effets de bord inconnus. La connaissance devient personnelle plutôt qu'organisationnelle — seuls quelques individus, souvent les plus anciens, comprennent certains systèmes critiques. Les nouveaux arrivants mettent des mois, voire des années, à devenir productifs, le temps d'accumuler suffisamment de connaissance tacite pour naviguer dans la complexité.</w:t>
      </w:r>
    </w:p>
    <w:p>
      <w:pPr>
        <w:spacing w:after="200" w:line="276"/>
        <w:jc w:val="both"/>
      </w:pPr>
      <w:r>
        <w:rPr>
          <w:rFonts w:ascii="Georgia" w:cs="Georgia" w:eastAsia="Georgia" w:hAnsi="Georgia"/>
          <w:sz w:val="24"/>
          <w:szCs w:val="24"/>
        </w:rPr>
        <w:t xml:space="preserve">Cette dette cognitive représente un risque stratégique majeur. Le départ d'un expert peut paralyser un pan entier du système d'information. Les décisions architecturales sont prises sur la base de compréhensions partielles, voire erronées. L'innovation est étouffée par la charge mentale nécessaire au simple maintien de l'existant. L'organisation devient prisonnière de systèmes que plus personne ne comprend véritablement.</w:t>
      </w:r>
    </w:p>
    <w:p>
      <w:pPr>
        <w:pStyle w:val="Heading3"/>
      </w:pPr>
      <w:r>
        <w:rPr>
          <w:rFonts w:ascii="Arial" w:cs="Arial" w:eastAsia="Arial" w:hAnsi="Arial"/>
          <w:b/>
          <w:bCs/>
        </w:rPr>
        <w:t xml:space="preserve">I.1.3.2 L'Épuisement des Ingénieurs : Le Burnout comme Symptôme Architectural</w:t>
      </w:r>
    </w:p>
    <w:p>
      <w:pPr>
        <w:spacing w:after="200" w:line="276"/>
        <w:jc w:val="both"/>
      </w:pPr>
      <w:r>
        <w:rPr>
          <w:rFonts w:ascii="Georgia" w:cs="Georgia" w:eastAsia="Georgia" w:hAnsi="Georgia"/>
          <w:sz w:val="24"/>
          <w:szCs w:val="24"/>
        </w:rPr>
        <w:t xml:space="preserve">Les études sur le bien-être des professionnels de l'informatique révèlent des taux d'épuisement professionnel (burnout) préoccupants. Le rapport State of DevOps de DORA (DevOps Research and Assessment) établit une corrélation significative entre la qualité de l'architecture logicielle et le bien-être des équipes. Les organisations dont les systèmes sont fortement couplés et difficiles à modifier présentent des taux de burnout significativement plus élevés.</w:t>
      </w:r>
    </w:p>
    <w:p>
      <w:pPr>
        <w:spacing w:after="200" w:line="276"/>
        <w:jc w:val="both"/>
      </w:pPr>
      <w:r>
        <w:rPr>
          <w:rFonts w:ascii="Georgia" w:cs="Georgia" w:eastAsia="Georgia" w:hAnsi="Georgia"/>
          <w:sz w:val="24"/>
          <w:szCs w:val="24"/>
        </w:rPr>
        <w:t xml:space="preserve">Ce constat invite à considérer l'épuisement non comme un problème individuel de gestion du stress, mais comme un symptôme architectural. Lorsque les ingénieurs passent l'essentiel de leur temps à « éteindre des feux », à décrypter des comportements inexplicables ou à coordonner des changements à travers des dizaines de systèmes interdépendants, leur épuisement n'est pas un échec personnel mais la conséquence prévisible d'une architecture défaillante.</w:t>
      </w:r>
    </w:p>
    <w:p>
      <w:pPr>
        <w:spacing w:after="200" w:line="276"/>
        <w:jc w:val="both"/>
      </w:pPr>
      <w:r>
        <w:rPr>
          <w:rFonts w:ascii="Georgia" w:cs="Georgia" w:eastAsia="Georgia" w:hAnsi="Georgia"/>
          <w:sz w:val="24"/>
          <w:szCs w:val="24"/>
        </w:rPr>
        <w:t xml:space="preserve">Les implications pour le recrutement et la rétention des talents sont considérables. Les meilleurs ingénieurs, qui ont le choix de leur employeur, fuient les environnements où la dette technique et cognitive rend le travail pénible et peu gratifiant. Les organisations se retrouvent dans un cercle vicieux : la complexité fait fuir les talents, le manque de talents empêche de réduire la complexité, ce qui accélère la fuite des talents restants.</w:t>
      </w:r>
    </w:p>
    <w:p>
      <w:pPr>
        <w:pStyle w:val="Heading3"/>
      </w:pPr>
      <w:r>
        <w:rPr>
          <w:rFonts w:ascii="Arial" w:cs="Arial" w:eastAsia="Arial" w:hAnsi="Arial"/>
          <w:b/>
          <w:bCs/>
        </w:rPr>
        <w:t xml:space="preserve">I.1.3.3 Le Théâtre de l'Agilité : Quand les Rituels Masquent la Paralysie</w:t>
      </w:r>
    </w:p>
    <w:p>
      <w:pPr>
        <w:spacing w:after="200" w:line="276"/>
        <w:jc w:val="both"/>
      </w:pPr>
      <w:r>
        <w:rPr>
          <w:rFonts w:ascii="Georgia" w:cs="Georgia" w:eastAsia="Georgia" w:hAnsi="Georgia"/>
          <w:sz w:val="24"/>
          <w:szCs w:val="24"/>
        </w:rPr>
        <w:t xml:space="preserve">L'adoption massive des méthodologies agiles — Scrum, Kanban, SAFe — était censée redonner aux organisations leur capacité d'adaptation. Les sprints de deux semaines, les rétrospectives régulières, les livraisons incrémentales devaient briser la rigidité des cycles en cascade. Pourtant, de nombreuses organisations pratiquent ce que l'on pourrait appeler un « théâtre de l'agilité » : les rituels sont respectés, les cérémonies sont tenues, mais la capacité réelle de changement demeure aussi limitée qu'avant.</w:t>
      </w:r>
    </w:p>
    <w:p>
      <w:pPr>
        <w:spacing w:after="200" w:line="276"/>
        <w:jc w:val="both"/>
      </w:pPr>
      <w:r>
        <w:rPr>
          <w:rFonts w:ascii="Georgia" w:cs="Georgia" w:eastAsia="Georgia" w:hAnsi="Georgia"/>
          <w:sz w:val="24"/>
          <w:szCs w:val="24"/>
        </w:rPr>
        <w:t xml:space="preserve">Ce paradoxe s'explique par une confusion entre agilité de processus et agilité d'architecture. Les méthodologies agiles optimisent la coordination des équipes et la gestion du flux de travail. Elles ne peuvent cependant compenser une architecture qui rend chaque changement coûteux et risqué. Une équipe parfaitement agile travaillant sur un monolithe rigide restera lente ; une équipe aux processus imparfaits opérant sur une architecture découplée pourra néanmoins livrer rapidement.</w:t>
      </w:r>
    </w:p>
    <w:p>
      <w:pPr>
        <w:spacing w:after="200" w:line="276"/>
        <w:jc w:val="both"/>
      </w:pPr>
      <w:r>
        <w:rPr>
          <w:rFonts w:ascii="Georgia" w:cs="Georgia" w:eastAsia="Georgia" w:hAnsi="Georgia"/>
          <w:sz w:val="24"/>
          <w:szCs w:val="24"/>
        </w:rPr>
        <w:t xml:space="preserve">Le véritable enjeu n'est pas d'adopter de nouvelles méthodologies, mais de créer les conditions architecturales qui permettent à l'agilité de s'exprimer. Cela implique de traiter la dette technique et cognitive, de découpler les systèmes pour permettre des évolutions indépendantes, et de développer des capacités d'observation qui permettent de comprendre le comportement réel des systèmes en production.</w:t>
      </w:r>
    </w:p>
    <w:p>
      <w:pPr>
        <w:pStyle w:val="Heading2"/>
      </w:pPr>
      <w:r>
        <w:rPr>
          <w:rFonts w:ascii="Arial" w:cs="Arial" w:eastAsia="Arial" w:hAnsi="Arial"/>
          <w:b/>
          <w:bCs/>
        </w:rPr>
        <w:t xml:space="preserve">I.1.4 Vers une Architecture Réactive et Agentique</w:t>
      </w:r>
    </w:p>
    <w:p>
      <w:pPr>
        <w:spacing w:after="200" w:line="276"/>
        <w:jc w:val="both"/>
      </w:pPr>
      <w:r>
        <w:rPr>
          <w:rFonts w:ascii="Georgia" w:cs="Georgia" w:eastAsia="Georgia" w:hAnsi="Georgia"/>
          <w:sz w:val="24"/>
          <w:szCs w:val="24"/>
        </w:rPr>
        <w:t xml:space="preserve">Le diagnostic que nous venons de poser peut sembler sombre, mais il constitue le préalable indispensable à toute transformation véritable. Reconnaître la nature systémique de la crise — technique, organisationnelle et humaine — permet d'éviter les solutions partielles qui ne font que déplacer les problèmes. La réponse ne peut être une nouvelle technologie miracle, mais une refonte architecturale accompagnée d'une transformation organisationnelle.</w:t>
      </w:r>
    </w:p>
    <w:p>
      <w:pPr>
        <w:spacing w:after="200" w:line="276"/>
        <w:jc w:val="both"/>
      </w:pPr>
      <w:r>
        <w:rPr>
          <w:rFonts w:ascii="Georgia" w:cs="Georgia" w:eastAsia="Georgia" w:hAnsi="Georgia"/>
          <w:sz w:val="24"/>
          <w:szCs w:val="24"/>
        </w:rPr>
        <w:t xml:space="preserve">L'architecture réactive que nous développerons dans les chapitres suivants propose une voie de sortie. En combinant les capacités des API modernes pour les interactions synchrones et de l'architecture orientée événements pour les flux asynchrones, elle permet de construire un système nerveux numérique capable de percevoir, traiter et réagir aux événements métier en temps réel. Cette infrastructure constitue le socle sur lequel l'entreprise agentique pourra se développer.</w:t>
      </w:r>
    </w:p>
    <w:p>
      <w:pPr>
        <w:spacing w:after="200" w:line="276"/>
        <w:jc w:val="both"/>
      </w:pPr>
      <w:r>
        <w:rPr>
          <w:rFonts w:ascii="Georgia" w:cs="Georgia" w:eastAsia="Georgia" w:hAnsi="Georgia"/>
          <w:sz w:val="24"/>
          <w:szCs w:val="24"/>
        </w:rPr>
        <w:t xml:space="preserve">L'émergence de l'intelligence artificielle, et particulièrement des agents cognitifs, ouvre de nouvelles perspectives pour traiter la dette cognitive. Des systèmes capables de comprendre le contexte, d'inférer les intentions et d'adapter leurs comportements peuvent assister les équipes humaines dans la navigation de la complexité. Plus fondamentalement, ils permettent d'envisager une interopérabilité qui ne repose plus sur des schémas prédéfinis, mais sur une compréhension dynamique des besoins métier.</w:t>
      </w:r>
    </w:p>
    <w:p>
      <w:pPr>
        <w:pStyle w:val="Heading2"/>
      </w:pPr>
      <w:r>
        <w:rPr>
          <w:rFonts w:ascii="Arial" w:cs="Arial" w:eastAsia="Arial" w:hAnsi="Arial"/>
          <w:b/>
          <w:bCs/>
        </w:rPr>
        <w:t xml:space="preserve">I.1.5 Résumé</w:t>
      </w:r>
    </w:p>
    <w:p>
      <w:pPr>
        <w:spacing w:after="200" w:line="276"/>
        <w:jc w:val="both"/>
      </w:pPr>
      <w:r>
        <w:rPr>
          <w:rFonts w:ascii="Georgia" w:cs="Georgia" w:eastAsia="Georgia" w:hAnsi="Georgia"/>
          <w:sz w:val="24"/>
          <w:szCs w:val="24"/>
        </w:rPr>
        <w:t xml:space="preserve">Ce chapitre a dressé le diagnostic d'une crise systémique de l'intégration qui dépasse largement la dimension technique. L'archéologie de l'intégration révèle un cycle de promesses et de déceptions où chaque génération technologique — EAI, SOA, ESB — a résolu certains problèmes tout en en créant de nouveaux. La fragmentation contemporaine, avec sa cohabitation du legacy, du cloud et du SaaS, et la convergence TI/TO, amplifie le défi à une échelle sans précédent.</w:t>
      </w:r>
    </w:p>
    <w:p>
      <w:pPr>
        <w:spacing w:after="200" w:line="276"/>
        <w:jc w:val="both"/>
      </w:pPr>
      <w:r>
        <w:rPr>
          <w:rFonts w:ascii="Georgia" w:cs="Georgia" w:eastAsia="Georgia" w:hAnsi="Georgia"/>
          <w:sz w:val="24"/>
          <w:szCs w:val="24"/>
        </w:rPr>
        <w:t xml:space="preserve">La dimension humaine de cette crise est peut-être la plus préoccupante. La dette cognitive, qui dépasse la capacité de compréhension des équipes, et l'épuisement des ingénieurs qui en découle, constituent des risques stratégiques majeurs. Le théâtre de l'agilité, où les rituels méthodologiques masquent une paralysie architecturale, illustre les limites des approches qui ne s'attaquent pas aux causes profondes.</w:t>
      </w:r>
    </w:p>
    <w:p>
      <w:pPr>
        <w:spacing w:after="200" w:line="276"/>
        <w:jc w:val="both"/>
      </w:pPr>
      <w:r>
        <w:rPr>
          <w:rFonts w:ascii="Georgia" w:cs="Georgia" w:eastAsia="Georgia" w:hAnsi="Georgia"/>
          <w:sz w:val="24"/>
          <w:szCs w:val="24"/>
        </w:rPr>
        <w:t xml:space="preserve">Les chapitres suivants développeront la réponse à cette crise : une architecture réactive fondée sur l'interopérabilité plutôt que l'intégration, capable de supporter l'émergence de l'entreprise agentique. Avant d'explorer cette solution, le chapitre suivant établira les fondements conceptuels de l'interopérabilité, distinguant clairement ce concept de l'intégration traditionnelle et explorant ses multiples dimensions.</w:t>
      </w:r>
    </w:p>
    <w:p>
      <w:r>
        <w:br w:type="page"/>
      </w:r>
    </w:p>
    <w:p>
      <w:pPr>
        <w:spacing w:before="600" w:after="200"/>
        <w:jc w:val="center"/>
      </w:pPr>
      <w:r>
        <w:rPr>
          <w:rFonts w:ascii="Georgia" w:cs="Georgia" w:eastAsia="Georgia" w:hAnsi="Georgia"/>
          <w:sz w:val="28"/>
          <w:szCs w:val="28"/>
        </w:rPr>
        <w:t xml:space="preserve">◆ ◆ ◆</w:t>
      </w:r>
    </w:p>
    <w:p>
      <w:pPr>
        <w:spacing w:after="200" w:line="276"/>
        <w:jc w:val="both"/>
      </w:pPr>
      <w:r>
        <w:rPr>
          <w:rFonts w:ascii="Georgia" w:cs="Georgia" w:eastAsia="Georgia" w:hAnsi="Georgia"/>
          <w:b w:val="false"/>
          <w:bCs w:val="false"/>
          <w:i/>
          <w:iCs/>
          <w:sz w:val="24"/>
          <w:szCs w:val="24"/>
        </w:rPr>
        <w:t xml:space="preserve">Le chapitre suivant, </w:t>
      </w:r>
      <w:r>
        <w:rPr>
          <w:rFonts w:ascii="Georgia" w:cs="Georgia" w:eastAsia="Georgia" w:hAnsi="Georgia"/>
          <w:b/>
          <w:bCs/>
          <w:i/>
          <w:iCs/>
          <w:sz w:val="24"/>
          <w:szCs w:val="24"/>
        </w:rPr>
        <w:t xml:space="preserve">Fondements et Dimensions de l'Interopérabilité</w:t>
      </w:r>
      <w:r>
        <w:rPr>
          <w:rFonts w:ascii="Georgia" w:cs="Georgia" w:eastAsia="Georgia" w:hAnsi="Georgia"/>
          <w:b w:val="false"/>
          <w:bCs w:val="false"/>
          <w:i/>
          <w:iCs/>
          <w:sz w:val="24"/>
          <w:szCs w:val="24"/>
        </w:rPr>
        <w:t xml:space="preserve">, établira la distinction cruciale entre intégration et interopérabilité. Cette clarification conceptuelle n'est pas un exercice académique : elle conditionne la manière dont nous concevons les solutions et évaluons leur succès. De la connectivité technique à l'alignement pragmatique, nous explorerons les différentes couches d'interopérabilité qui constituent le fondement de l'entreprise agentique.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Page </w:t>
    </w: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20"/>
        <w:szCs w:val="20"/>
      </w:rPr>
      <w:t xml:space="preserve">Partie 1 : La Crise de l'Intégration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a1a1a"/>
      <w:sz w:val="36"/>
      <w:szCs w:val="36"/>
    </w:rPr>
  </w:style>
  <w:style w:type="paragraph" w:styleId="Heading2">
    <w:name w:val="Heading 2"/>
    <w:basedOn w:val="Normal"/>
    <w:next w:val="Normal"/>
    <w:qFormat/>
    <w:pPr>
      <w:spacing w:before="360" w:after="180"/>
      <w:outlineLvl w:val="1"/>
    </w:pPr>
    <w:rPr>
      <w:rFonts w:ascii="Arial" w:cs="Arial" w:eastAsia="Arial" w:hAnsi="Arial"/>
      <w:b/>
      <w:bCs/>
      <w:color w:val="2a2a2a"/>
      <w:sz w:val="30"/>
      <w:szCs w:val="30"/>
    </w:rPr>
  </w:style>
  <w:style w:type="paragraph" w:styleId="Heading3">
    <w:name w:val="Heading 3"/>
    <w:basedOn w:val="Normal"/>
    <w:next w:val="Normal"/>
    <w:qFormat/>
    <w:pPr>
      <w:spacing w:before="280" w:after="140"/>
      <w:outlineLvl w:val="2"/>
    </w:pPr>
    <w:rPr>
      <w:rFonts w:ascii="Arial" w:cs="Arial" w:eastAsia="Arial" w:hAnsi="Arial"/>
      <w:b/>
      <w:bCs/>
      <w:color w:val="3a3a3a"/>
      <w:sz w:val="26"/>
      <w:szCs w:val="26"/>
    </w:rPr>
  </w:style>
  <w:style w:type="paragraph" w:styleId="Heading4">
    <w:name w:val="Heading 4"/>
    <w:basedOn w:val="Normal"/>
    <w:next w:val="Normal"/>
    <w:qFormat/>
    <w:pPr>
      <w:spacing w:before="240" w:after="120"/>
      <w:outlineLvl w:val="3"/>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2026-01-11T01:34:30.847Z</dcterms:created>
  <dcterms:modified xsi:type="dcterms:W3CDTF">2026-01-11T01:34:30.848Z</dcterms:modified>
</cp:coreProperties>
</file>

<file path=docProps/custom.xml><?xml version="1.0" encoding="utf-8"?>
<Properties xmlns="http://schemas.openxmlformats.org/officeDocument/2006/custom-properties" xmlns:vt="http://schemas.openxmlformats.org/officeDocument/2006/docPropsVTypes"/>
</file>