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I.11</w:t>
      </w:r>
    </w:p>
    <w:p>
      <w:pPr>
        <w:pStyle w:val="Heading1"/>
        <w:spacing w:after="400"/>
        <w:jc w:val="center"/>
      </w:pPr>
      <w:r>
        <w:rPr>
          <w:rFonts w:ascii="Arial" w:cs="Arial" w:eastAsia="Arial" w:hAnsi="Arial"/>
          <w:b/>
          <w:bCs/>
          <w:sz w:val="36"/>
          <w:szCs w:val="36"/>
        </w:rPr>
        <w:t xml:space="preserve">Intelligence Artificielle comme Moteur d'Interopérabilité Adaptative</w:t>
      </w:r>
    </w:p>
    <w:p>
      <w:pPr>
        <w:spacing w:before="200" w:after="400"/>
        <w:ind w:left="2880"/>
        <w:jc w:val="right"/>
      </w:pPr>
      <w:r>
        <w:rPr>
          <w:rFonts w:ascii="Georgia" w:cs="Georgia" w:eastAsia="Georgia" w:hAnsi="Georgia"/>
          <w:i/>
          <w:iCs/>
          <w:sz w:val="22"/>
          <w:szCs w:val="22"/>
        </w:rPr>
        <w:t xml:space="preserve">« L'intelligence artificielle est la nouvelle électricité. »
— Andrew Ng, Co-fondateur de Coursera</w:t>
      </w:r>
    </w:p>
    <w:p>
      <w:pPr>
        <w:spacing w:after="200" w:line="276"/>
        <w:jc w:val="both"/>
      </w:pPr>
      <w:r>
        <w:rPr>
          <w:rFonts w:ascii="Georgia" w:cs="Georgia" w:eastAsia="Georgia" w:hAnsi="Georgia"/>
          <w:sz w:val="24"/>
          <w:szCs w:val="24"/>
        </w:rPr>
        <w:t xml:space="preserve">Le chapitre précédent a établi les limites des approches traditionnelles de l'interopérabilité sémantique. Les ontologies, le MDM et les modèles canoniques partagent une hypothèse qui les condamne à la rigidité : le sens doit être formalisé explicitement avant les échanges. L'intelligence artificielle renverse cette hypothèse. Elle peut inférer le sens à partir du contexte, s'adapter dynamiquement à de nouveaux domaines, et combler le fossé sémantique sans modélisation préalable exhaustive.</w:t>
      </w:r>
    </w:p>
    <w:p>
      <w:pPr>
        <w:spacing w:after="200" w:line="276"/>
        <w:jc w:val="both"/>
      </w:pPr>
      <w:r>
        <w:rPr>
          <w:rFonts w:ascii="Georgia" w:cs="Georgia" w:eastAsia="Georgia" w:hAnsi="Georgia"/>
          <w:sz w:val="24"/>
          <w:szCs w:val="24"/>
        </w:rPr>
        <w:t xml:space="preserve">Ce chapitre explore comment l'IA transforme l'interopérabilité. Nous examinerons d'abord la convergence entre l'IA et les architectures orientées événements, créant des systèmes capables de comprendre et réagir intelligemment aux flux de données. Nous verrons comment opérationnaliser l'IA sur les flux en temps réel. Nous analyserons les applications de l'IA à l'optimisation de l'interopérabilité structurelle. Nous développerons le rôle transformateur des grands modèles de langage. Enfin, nous explorerons les perspectives de l'AIOps vers des systèmes véritablement auto-adaptatifs.</w:t>
      </w:r>
    </w:p>
    <w:p>
      <w:pPr>
        <w:pStyle w:val="Heading2"/>
      </w:pPr>
      <w:r>
        <w:rPr>
          <w:rFonts w:ascii="Arial" w:cs="Arial" w:eastAsia="Arial" w:hAnsi="Arial"/>
          <w:b/>
          <w:bCs/>
        </w:rPr>
        <w:t xml:space="preserve">I.11.1 La Convergence de l'IA et des Architectures Orientées Événements</w:t>
      </w:r>
    </w:p>
    <w:p>
      <w:pPr>
        <w:spacing w:after="200" w:line="276"/>
        <w:jc w:val="both"/>
      </w:pPr>
      <w:r>
        <w:rPr>
          <w:rFonts w:ascii="Georgia" w:cs="Georgia" w:eastAsia="Georgia" w:hAnsi="Georgia"/>
          <w:sz w:val="24"/>
          <w:szCs w:val="24"/>
        </w:rPr>
        <w:t xml:space="preserve">L'architecture orientée événements et l'intelligence artificielle se renforcent mutuellement. L'EDA fournit les flux de données en temps réel dont l'IA a besoin pour entraîner ses modèles et déployer ses inférences. L'IA apporte à l'EDA la capacité de comprendre, enrichir et réagir intelligemment aux événements. Cette convergence crée une nouvelle catégorie de systèmes : les architectures cognitives événementielles.</w:t>
      </w:r>
    </w:p>
    <w:p>
      <w:pPr>
        <w:spacing w:after="200" w:line="276"/>
        <w:jc w:val="both"/>
      </w:pPr>
      <w:r>
        <w:rPr>
          <w:rFonts w:ascii="Georgia" w:cs="Georgia" w:eastAsia="Georgia" w:hAnsi="Georgia"/>
          <w:sz w:val="24"/>
          <w:szCs w:val="24"/>
        </w:rPr>
        <w:t xml:space="preserve">Traditionnellement, les systèmes d'IA fonctionnaient en mode batch : collecter des données historiques, entraîner un modèle hors ligne, déployer le modèle pour des prédictions. Ce cycle, qui pouvait prendre des semaines, limitait la capacité d'adaptation. Les architectures événementielles permettent un paradigme différent : l'IA s'entraîne continuellement sur les flux d'événements, adapte ses modèles en temps réel, et influence immédiatement les décisions opérationnelles.</w:t>
      </w:r>
    </w:p>
    <w:p>
      <w:pPr>
        <w:spacing w:after="200" w:line="276"/>
        <w:jc w:val="both"/>
      </w:pPr>
      <w:r>
        <w:rPr>
          <w:rFonts w:ascii="Georgia" w:cs="Georgia" w:eastAsia="Georgia" w:hAnsi="Georgia"/>
          <w:sz w:val="24"/>
          <w:szCs w:val="24"/>
        </w:rPr>
        <w:t xml:space="preserve">La détection de fraude illustre cette convergence. Un système traditionnel analyse les transactions a posteriori et détecte les fraudes avec un délai de jours. Un système événementiel avec IA analyse chaque transaction en temps réel, compare les patterns aux comportements habituels du client, et bloque les transactions suspectes en millisecondes. Apache Kafka fournit le flux de transactions ; les modèles d'apprentissage automatique, déployés sur ce flux, produisent des scores de risque ; les règles métier consomment ces scores pour décider du blocage.</w:t>
      </w:r>
    </w:p>
    <w:p>
      <w:pPr>
        <w:spacing w:after="200" w:line="276"/>
        <w:jc w:val="both"/>
      </w:pPr>
      <w:r>
        <w:rPr>
          <w:rFonts w:ascii="Georgia" w:cs="Georgia" w:eastAsia="Georgia" w:hAnsi="Georgia"/>
          <w:sz w:val="24"/>
          <w:szCs w:val="24"/>
        </w:rPr>
        <w:t xml:space="preserve">La personnalisation en temps réel constitue un autre cas d'usage majeur. Chaque interaction utilisateur — clic, recherche, achat, abandon — génère des événements qui alimentent des modèles de recommandation. Ces modèles ajustent continuellement leurs prédictions, offrant une expérience qui s'adapte en quelques secondes plutôt qu'en quelques jours. Netflix, présenté au chapitre I.9, incarne cette approche avec ses algorithmes qui réagissent instantanément aux signaux d'engagement.</w:t>
      </w:r>
    </w:p>
    <w:p>
      <w:pPr>
        <w:pStyle w:val="Heading2"/>
      </w:pPr>
      <w:r>
        <w:rPr>
          <w:rFonts w:ascii="Arial" w:cs="Arial" w:eastAsia="Arial" w:hAnsi="Arial"/>
          <w:b/>
          <w:bCs/>
        </w:rPr>
        <w:t xml:space="preserve">I.11.2 L'Opérationnalisation de l'IA sur les Flux en Temps Réel</w:t>
      </w:r>
    </w:p>
    <w:p>
      <w:pPr>
        <w:spacing w:after="200" w:line="276"/>
        <w:jc w:val="both"/>
      </w:pPr>
      <w:r>
        <w:rPr>
          <w:rFonts w:ascii="Georgia" w:cs="Georgia" w:eastAsia="Georgia" w:hAnsi="Georgia"/>
          <w:sz w:val="24"/>
          <w:szCs w:val="24"/>
        </w:rPr>
        <w:t xml:space="preserve">Déployer l'IA sur des flux en temps réel pose des défis spécifiques que les approches batch ne rencontrent pas. La latence devient critique : un modèle qui prend une seconde à répondre est inutile pour une décision en millisecondes. Le débit impose des contraintes : traiter des millions d'événements par seconde exige des architectures optimisées. La cohérence requiert attention : comment garantir que tous les consommateurs utilisent la même version du modèle ?</w:t>
      </w:r>
    </w:p>
    <w:p>
      <w:pPr>
        <w:spacing w:after="200" w:line="276"/>
        <w:jc w:val="both"/>
      </w:pPr>
      <w:r>
        <w:rPr>
          <w:rFonts w:ascii="Georgia" w:cs="Georgia" w:eastAsia="Georgia" w:hAnsi="Georgia"/>
          <w:b w:val="false"/>
          <w:bCs w:val="false"/>
          <w:i w:val="false"/>
          <w:iCs w:val="false"/>
          <w:sz w:val="24"/>
          <w:szCs w:val="24"/>
        </w:rPr>
        <w:t xml:space="preserve">Le pattern </w:t>
      </w:r>
      <w:r>
        <w:rPr>
          <w:rFonts w:ascii="Georgia" w:cs="Georgia" w:eastAsia="Georgia" w:hAnsi="Georgia"/>
          <w:b/>
          <w:bCs/>
          <w:i/>
          <w:iCs/>
          <w:sz w:val="24"/>
          <w:szCs w:val="24"/>
        </w:rPr>
        <w:t xml:space="preserve">Feature Store</w:t>
      </w:r>
      <w:r>
        <w:rPr>
          <w:rFonts w:ascii="Georgia" w:cs="Georgia" w:eastAsia="Georgia" w:hAnsi="Georgia"/>
          <w:b w:val="false"/>
          <w:bCs w:val="false"/>
          <w:i w:val="false"/>
          <w:iCs w:val="false"/>
          <w:sz w:val="24"/>
          <w:szCs w:val="24"/>
        </w:rPr>
        <w:t xml:space="preserve"> adresse le défi des caractéristiques (features) pour l'apprentissage automatique. Un Feature Store centralise le calcul et le stockage des features utilisées par les modèles. Il assure la cohérence entre l'entraînement (features historiques) et l'inférence (features temps réel). Des solutions comme Feast, Tecton ou les Feature Stores des plateformes cloud (Vertex AI Feature Store de Google Cloud) standardisent cette pratique.</w:t>
      </w:r>
    </w:p>
    <w:p>
      <w:pPr>
        <w:spacing w:after="200" w:line="276"/>
        <w:jc w:val="both"/>
      </w:pPr>
      <w:r>
        <w:rPr>
          <w:rFonts w:ascii="Georgia" w:cs="Georgia" w:eastAsia="Georgia" w:hAnsi="Georgia"/>
          <w:b w:val="false"/>
          <w:bCs w:val="false"/>
          <w:i w:val="false"/>
          <w:iCs w:val="false"/>
          <w:sz w:val="24"/>
          <w:szCs w:val="24"/>
        </w:rPr>
        <w:t xml:space="preserve">Le pattern </w:t>
      </w:r>
      <w:r>
        <w:rPr>
          <w:rFonts w:ascii="Georgia" w:cs="Georgia" w:eastAsia="Georgia" w:hAnsi="Georgia"/>
          <w:b/>
          <w:bCs/>
          <w:i/>
          <w:iCs/>
          <w:sz w:val="24"/>
          <w:szCs w:val="24"/>
        </w:rPr>
        <w:t xml:space="preserve">Model Serving</w:t>
      </w:r>
      <w:r>
        <w:rPr>
          <w:rFonts w:ascii="Georgia" w:cs="Georgia" w:eastAsia="Georgia" w:hAnsi="Georgia"/>
          <w:b w:val="false"/>
          <w:bCs w:val="false"/>
          <w:i w:val="false"/>
          <w:iCs w:val="false"/>
          <w:sz w:val="24"/>
          <w:szCs w:val="24"/>
        </w:rPr>
        <w:t xml:space="preserve"> gère le déploiement des modèles pour l'inférence à faible latence. Les modèles sont packagés dans des conteneurs avec leurs dépendances, déployés sur des infrastructures optimisées (GPU, TPU pour les modèles lourds), et exposés via des API ou directement sur les flux Kafka. TensorFlow Serving, TorchServe et Seldon Core sont des solutions populaires. Les plateformes comme Vertex AI de Google Cloud offrent ces capacités en service managé.</w:t>
      </w:r>
    </w:p>
    <w:p>
      <w:pPr>
        <w:spacing w:after="200" w:line="276"/>
        <w:jc w:val="both"/>
      </w:pPr>
      <w:r>
        <w:rPr>
          <w:rFonts w:ascii="Georgia" w:cs="Georgia" w:eastAsia="Georgia" w:hAnsi="Georgia"/>
          <w:sz w:val="24"/>
          <w:szCs w:val="24"/>
        </w:rPr>
        <w:t xml:space="preserve">L'intégration avec Kafka prend plusieurs formes. L'approche la plus simple utilise Kafka comme transport : un consommateur lit les événements, appelle un service d'inférence, et produit les résultats enrichis. Pour les cas exigeant une latence minimale, l'inférence peut être embarquée directement dans les applications Kafka Streams, éliminant les appels réseau. Des bibliothèques comme kafka-ml facilitent cette intégration.</w:t>
      </w:r>
    </w:p>
    <w:p>
      <w:pPr>
        <w:spacing w:after="200" w:line="276"/>
        <w:jc w:val="both"/>
      </w:pPr>
      <w:r>
        <w:rPr>
          <w:rFonts w:ascii="Georgia" w:cs="Georgia" w:eastAsia="Georgia" w:hAnsi="Georgia"/>
          <w:sz w:val="24"/>
          <w:szCs w:val="24"/>
        </w:rPr>
        <w:t xml:space="preserve">Le versionnement des modèles mérite une attention particulière. Contrairement au code applicatif, les modèles d'IA évoluent continuellement avec l'arrivée de nouvelles données. Le MLOps — application des pratiques DevOps à l'apprentissage automatique — fournit les processus et outils pour gérer ce cycle de vie : versionnement des modèles et des données, pipelines d'entraînement automatisés, tests de performance avant déploiement, déploiement progressif (canary), monitoring de la dérive.</w:t>
      </w:r>
    </w:p>
    <w:p>
      <w:pPr>
        <w:pStyle w:val="Heading2"/>
      </w:pPr>
      <w:r>
        <w:rPr>
          <w:rFonts w:ascii="Arial" w:cs="Arial" w:eastAsia="Arial" w:hAnsi="Arial"/>
          <w:b/>
          <w:bCs/>
        </w:rPr>
        <w:t xml:space="preserve">I.11.3 L'IA comme Levier d'Optimisation de l'Interopérabilité Structurelle</w:t>
      </w:r>
    </w:p>
    <w:p>
      <w:pPr>
        <w:spacing w:after="200" w:line="276"/>
        <w:jc w:val="both"/>
      </w:pPr>
      <w:r>
        <w:rPr>
          <w:rFonts w:ascii="Georgia" w:cs="Georgia" w:eastAsia="Georgia" w:hAnsi="Georgia"/>
          <w:sz w:val="24"/>
          <w:szCs w:val="24"/>
        </w:rPr>
        <w:t xml:space="preserve">Au-delà du traitement des flux, l'IA transforme la manière même dont nous construisons l'interopérabilité. Les tâches traditionnellement manuelles et coûteuses — création de mappings, résolution d'entités, classification de données — peuvent être automatisées ou assistées par l'apprentissage automatique.</w:t>
      </w:r>
    </w:p>
    <w:p>
      <w:pPr>
        <w:spacing w:after="200" w:line="276"/>
        <w:jc w:val="both"/>
      </w:pPr>
      <w:r>
        <w:rPr>
          <w:rFonts w:ascii="Georgia" w:cs="Georgia" w:eastAsia="Georgia" w:hAnsi="Georgia"/>
          <w:b w:val="false"/>
          <w:bCs w:val="false"/>
          <w:i w:val="false"/>
          <w:iCs w:val="false"/>
          <w:sz w:val="24"/>
          <w:szCs w:val="24"/>
        </w:rPr>
        <w:t xml:space="preserve">L'</w:t>
      </w:r>
      <w:r>
        <w:rPr>
          <w:rFonts w:ascii="Georgia" w:cs="Georgia" w:eastAsia="Georgia" w:hAnsi="Georgia"/>
          <w:b/>
          <w:bCs/>
          <w:i/>
          <w:iCs/>
          <w:sz w:val="24"/>
          <w:szCs w:val="24"/>
        </w:rPr>
        <w:t xml:space="preserve">inférence automatique de mappings</w:t>
      </w:r>
      <w:r>
        <w:rPr>
          <w:rFonts w:ascii="Georgia" w:cs="Georgia" w:eastAsia="Georgia" w:hAnsi="Georgia"/>
          <w:b w:val="false"/>
          <w:bCs w:val="false"/>
          <w:i w:val="false"/>
          <w:iCs w:val="false"/>
          <w:sz w:val="24"/>
          <w:szCs w:val="24"/>
        </w:rPr>
        <w:t xml:space="preserve"> utilise l'apprentissage automatique pour suggérer des correspondances entre schémas. Les algorithmes analysent les noms de champs, les types de données, les distributions de valeurs et les patterns d'utilisation pour identifier les correspondances probables. Des outils comme Tamr ou les fonctionnalités de data matching des plateformes cloud réduisent considérablement l'effort de création des mappings initiaux.</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résolution d'entités (Entity Resolution)</w:t>
      </w:r>
      <w:r>
        <w:rPr>
          <w:rFonts w:ascii="Georgia" w:cs="Georgia" w:eastAsia="Georgia" w:hAnsi="Georgia"/>
          <w:b w:val="false"/>
          <w:bCs w:val="false"/>
          <w:i w:val="false"/>
          <w:iCs w:val="false"/>
          <w:sz w:val="24"/>
          <w:szCs w:val="24"/>
        </w:rPr>
        <w:t xml:space="preserve"> identifie les enregistrements qui représentent la même entité du monde réel malgré des différences de représentation. « Jean Dupont », « J. DUPONT » et « Dupont, Jean » désignent-ils la même personne ? Les techniques classiques de matching flou atteignent leurs limites face à la variabilité des données réelles. Les approches modernes utilisent des réseaux de neurones entraînés sur des exemples étiquetés pour capturer les patterns de similarité spécifiques à chaque domaine.</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classification automatique des données</w:t>
      </w:r>
      <w:r>
        <w:rPr>
          <w:rFonts w:ascii="Georgia" w:cs="Georgia" w:eastAsia="Georgia" w:hAnsi="Georgia"/>
          <w:b w:val="false"/>
          <w:bCs w:val="false"/>
          <w:i w:val="false"/>
          <w:iCs w:val="false"/>
          <w:sz w:val="24"/>
          <w:szCs w:val="24"/>
        </w:rPr>
        <w:t xml:space="preserve"> facilite la gouvernance et la conformité. Un classifieur peut identifier automatiquement les données personnelles (PII), les données financières sensibles ou les informations réglementées dans des flux de données non structurés ou semi-structurés. Cette classification permet d'appliquer automatiquement les politiques de sécurité et de rétention appropriées.</w:t>
      </w:r>
    </w:p>
    <w:p>
      <w:pPr>
        <w:spacing w:after="200" w:line="276"/>
        <w:jc w:val="both"/>
      </w:pPr>
      <w:r>
        <w:rPr>
          <w:rFonts w:ascii="Georgia" w:cs="Georgia" w:eastAsia="Georgia" w:hAnsi="Georgia"/>
          <w:sz w:val="24"/>
          <w:szCs w:val="24"/>
        </w:rPr>
        <w:t xml:space="preserve">La qualité des données bénéficie également de l'IA. Les algorithmes de détection d'anomalies identifient les valeurs aberrantes qui échappent aux règles de validation traditionnelles. Les modèles prédictifs peuvent imputer les valeurs manquantes avec une précision supérieure aux moyennes simples. Les techniques de déduplication intelligente vont au-delà du matching exact pour identifier les doublons malgré les variations.</w:t>
      </w:r>
    </w:p>
    <w:p>
      <w:pPr>
        <w:pStyle w:val="Heading2"/>
      </w:pPr>
      <w:r>
        <w:rPr>
          <w:rFonts w:ascii="Arial" w:cs="Arial" w:eastAsia="Arial" w:hAnsi="Arial"/>
          <w:b/>
          <w:bCs/>
        </w:rPr>
        <w:t xml:space="preserve">I.11.4 Le Rôle des Grands Modèles de Langage (LLM/SLM)</w:t>
      </w:r>
    </w:p>
    <w:p>
      <w:pPr>
        <w:spacing w:after="200" w:line="276"/>
        <w:jc w:val="both"/>
      </w:pPr>
      <w:r>
        <w:rPr>
          <w:rFonts w:ascii="Georgia" w:cs="Georgia" w:eastAsia="Georgia" w:hAnsi="Georgia"/>
          <w:sz w:val="24"/>
          <w:szCs w:val="24"/>
        </w:rPr>
        <w:t xml:space="preserve">Les grands modèles de langage (Large Language Models ou LLM) représentent un saut qualitatif dans les capacités de l'IA pour l'interopérabilité. Ces modèles, entraînés sur des corpus massifs de textes, ont développé une compréhension contextuelle du langage qui leur permet d'interpréter et de transformer des données avec une flexibilité sans précédent.</w:t>
      </w:r>
    </w:p>
    <w:p>
      <w:pPr>
        <w:spacing w:after="200" w:line="276"/>
        <w:jc w:val="both"/>
      </w:pPr>
      <w:r>
        <w:rPr>
          <w:rFonts w:ascii="Georgia" w:cs="Georgia" w:eastAsia="Georgia" w:hAnsi="Georgia"/>
          <w:sz w:val="24"/>
          <w:szCs w:val="24"/>
        </w:rPr>
        <w:t xml:space="preserve">La transformation de données naturelle illustre ce potentiel. Un LLM peut recevoir un schéma source, un schéma cible et quelques exemples, puis générer les transformations appropriées pour des structures qu'il n'a jamais vues. Cette capacité de « few-shot learning » élimine le besoin de programmer explicitement chaque mapping. Le modèle infère les correspondances sémantiques à partir du contexte, comblant le fossé que les approches formelles ne pouvaient franchir.</w:t>
      </w:r>
    </w:p>
    <w:p>
      <w:pPr>
        <w:spacing w:after="200" w:line="276"/>
        <w:jc w:val="both"/>
      </w:pPr>
      <w:r>
        <w:rPr>
          <w:rFonts w:ascii="Georgia" w:cs="Georgia" w:eastAsia="Georgia" w:hAnsi="Georgia"/>
          <w:sz w:val="24"/>
          <w:szCs w:val="24"/>
        </w:rPr>
        <w:t xml:space="preserve">L'interprétation des données non structurées s'ouvre à l'interopérabilité. Les documents textuels, les courriels, les notes de service contiennent des informations précieuses mais inaccessibles aux systèmes traditionnels. Les LLM peuvent extraire des entités, des relations et des événements de ces textes, les structurer selon des schémas définis, et les intégrer aux flux de données structurées. Un courriel mentionnant une commande devient un événement « CommandeMentionnée » avec ses attributs extraits.</w:t>
      </w:r>
    </w:p>
    <w:p>
      <w:pPr>
        <w:spacing w:after="200" w:line="276"/>
        <w:jc w:val="both"/>
      </w:pPr>
      <w:r>
        <w:rPr>
          <w:rFonts w:ascii="Georgia" w:cs="Georgia" w:eastAsia="Georgia" w:hAnsi="Georgia"/>
          <w:sz w:val="24"/>
          <w:szCs w:val="24"/>
        </w:rPr>
        <w:t xml:space="preserve">Les Small Language Models (SLM) — modèles plus compacts optimisés pour des tâches spécifiques — offrent une alternative pragmatique pour les cas d'usage de production. Leur taille réduite permet un déploiement sur des infrastructures standard, une latence compatible avec le temps réel, et des coûts maîtrisés. Le fine-tuning sur des données d'entreprise les spécialise pour les vocabulaires et conventions spécifiques de l'organisation.</w:t>
      </w:r>
    </w:p>
    <w:p>
      <w:pPr>
        <w:spacing w:before="300" w:after="200"/>
      </w:pPr>
      <w:r>
        <w:rPr>
          <w:rFonts w:ascii="Arial" w:cs="Arial" w:eastAsia="Arial" w:hAnsi="Arial"/>
          <w:b/>
          <w:bCs/>
          <w:i/>
          <w:iCs/>
          <w:sz w:val="22"/>
          <w:szCs w:val="22"/>
        </w:rPr>
        <w:t xml:space="preserve">Tableau I.11.1 — Applications des LLM à l'Interopérabilité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Application</w:t>
            </w:r>
          </w:p>
        </w:tc>
        <w:tc>
          <w:tcPr>
            <w:tcW w:type="dxa" w:w="6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Génération de mappings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Inférer les correspondances entre schémas à partir d'exemples (few-shot)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Transformation de données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Convertir des données entre formats avec compréhension sémantique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Extraction d'entités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Identifier et structurer les informations dans des textes non structurés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Enrichissement contextuel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Ajouter des métadonnées inférées du contexte (sentiment, catégorie, urgence)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Génération de documentation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Produire automatiquement la documentation des schémas et des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Requêtes en langage naturel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Traduire des questions en requêtes techniques (SQL, API calls)</w:t>
            </w:r>
          </w:p>
        </w:tc>
      </w:tr>
    </w:tbl>
    <w:p>
      <w:pPr>
        <w:pStyle w:val="Heading2"/>
        <w:spacing w:before="400"/>
      </w:pPr>
      <w:r>
        <w:rPr>
          <w:rFonts w:ascii="Arial" w:cs="Arial" w:eastAsia="Arial" w:hAnsi="Arial"/>
          <w:b/>
          <w:bCs/>
        </w:rPr>
        <w:t xml:space="preserve">I.11.5 AIOps Avancée : Vers des Systèmes Auto-Adaptatifs</w:t>
      </w:r>
    </w:p>
    <w:p>
      <w:pPr>
        <w:spacing w:after="200" w:line="276"/>
        <w:jc w:val="both"/>
      </w:pPr>
      <w:r>
        <w:rPr>
          <w:rFonts w:ascii="Georgia" w:cs="Georgia" w:eastAsia="Georgia" w:hAnsi="Georgia"/>
          <w:sz w:val="24"/>
          <w:szCs w:val="24"/>
        </w:rPr>
        <w:t xml:space="preserve">L'AIOps (Artificial Intelligence for IT Operations) applique l'intelligence artificielle aux opérations informatiques : monitoring, détection d'incidents, analyse de cause racine, remédiation. Dans le contexte de l'interopérabilité, l'AIOps ouvre la perspective de systèmes qui s'adaptent automatiquement aux changements de leur environnement.</w:t>
      </w:r>
    </w:p>
    <w:p>
      <w:pPr>
        <w:spacing w:after="200" w:line="276"/>
        <w:jc w:val="both"/>
      </w:pPr>
      <w:r>
        <w:rPr>
          <w:rFonts w:ascii="Georgia" w:cs="Georgia" w:eastAsia="Georgia" w:hAnsi="Georgia"/>
          <w:sz w:val="24"/>
          <w:szCs w:val="24"/>
        </w:rPr>
        <w:t xml:space="preserve">La détection d'anomalies dans les flux d'événements identifie les changements de comportement qui pourraient signaler des problèmes d'interopérabilité. Une augmentation soudaine des erreurs de parsing, une dérive dans la distribution des valeurs d'un champ, un changement dans le volume des événements : ces signaux, détectés automatiquement, permettent une intervention proactive avant que les problèmes n'affectent les consommateurs.</w:t>
      </w:r>
    </w:p>
    <w:p>
      <w:pPr>
        <w:spacing w:after="200" w:line="276"/>
        <w:jc w:val="both"/>
      </w:pPr>
      <w:r>
        <w:rPr>
          <w:rFonts w:ascii="Georgia" w:cs="Georgia" w:eastAsia="Georgia" w:hAnsi="Georgia"/>
          <w:sz w:val="24"/>
          <w:szCs w:val="24"/>
        </w:rPr>
        <w:t xml:space="preserve">L'analyse de cause racine corrèle les symptômes observés à travers les systèmes pour identifier l'origine des problèmes. Quand des erreurs apparaissent simultanément dans plusieurs consommateurs d'un même événement, le système peut identifier le producteur comme source probable. Cette corrélation, difficile pour un opérateur humain face à des milliers de flux, devient tractable avec l'IA.</w:t>
      </w:r>
    </w:p>
    <w:p>
      <w:pPr>
        <w:spacing w:after="200" w:line="276"/>
        <w:jc w:val="both"/>
      </w:pPr>
      <w:r>
        <w:rPr>
          <w:rFonts w:ascii="Georgia" w:cs="Georgia" w:eastAsia="Georgia" w:hAnsi="Georgia"/>
          <w:sz w:val="24"/>
          <w:szCs w:val="24"/>
        </w:rPr>
        <w:t xml:space="preserve">La remédiation automatique pousse l'AIOps vers l'autonomie. Un système qui détecte une incompatibilité de schéma peut automatiquement appliquer une transformation corrective. Un système qui identifie un producteur défaillant peut basculer vers une source alternative. Ces capacités d'auto-guérison réduisent le besoin d'intervention humaine et améliorent la résilience globale.</w:t>
      </w:r>
    </w:p>
    <w:p>
      <w:pPr>
        <w:spacing w:after="200" w:line="276"/>
        <w:jc w:val="both"/>
      </w:pPr>
      <w:r>
        <w:rPr>
          <w:rFonts w:ascii="Georgia" w:cs="Georgia" w:eastAsia="Georgia" w:hAnsi="Georgia"/>
          <w:sz w:val="24"/>
          <w:szCs w:val="24"/>
        </w:rPr>
        <w:t xml:space="preserve">La vision ultime est celle de systèmes véritablement auto-adaptatifs : capables de détecter les changements dans leur environnement, de comprendre les nouvelles conventions sémantiques, et d'ajuster dynamiquement leurs comportements sans intervention humaine. Cette vision, encore largement prospective, guide les développements actuels vers plus d'autonomie et d'intelligence dans les infrastructures d'interopérabilité.</w:t>
      </w:r>
    </w:p>
    <w:p>
      <w:pPr>
        <w:pStyle w:val="Heading2"/>
      </w:pPr>
      <w:r>
        <w:rPr>
          <w:rFonts w:ascii="Arial" w:cs="Arial" w:eastAsia="Arial" w:hAnsi="Arial"/>
          <w:b/>
          <w:bCs/>
        </w:rPr>
        <w:t xml:space="preserve">I.11.6 Conclusion : L'IA comme Catalyseur du Saut Cognitif</w:t>
      </w:r>
    </w:p>
    <w:p>
      <w:pPr>
        <w:spacing w:after="200" w:line="276"/>
        <w:jc w:val="both"/>
      </w:pPr>
      <w:r>
        <w:rPr>
          <w:rFonts w:ascii="Georgia" w:cs="Georgia" w:eastAsia="Georgia" w:hAnsi="Georgia"/>
          <w:sz w:val="24"/>
          <w:szCs w:val="24"/>
        </w:rPr>
        <w:t xml:space="preserve">L'intelligence artificielle ne résout pas les problèmes d'interopérabilité par magie. Elle ne remplace pas le besoin de contrats de données, de gouvernance ou d'architecture bien conçue. Mais elle apporte une flexibilité qui manquait cruellement aux approches traditionnelles : la capacité de s'adapter au contexte, d'inférer le sens, de traiter l'imprévu.</w:t>
      </w:r>
    </w:p>
    <w:p>
      <w:pPr>
        <w:spacing w:after="200" w:line="276"/>
        <w:jc w:val="both"/>
      </w:pPr>
      <w:r>
        <w:rPr>
          <w:rFonts w:ascii="Georgia" w:cs="Georgia" w:eastAsia="Georgia" w:hAnsi="Georgia"/>
          <w:sz w:val="24"/>
          <w:szCs w:val="24"/>
        </w:rPr>
        <w:t xml:space="preserve">La convergence de l'IA avec les architectures événementielles crée un nouveau paradigme où les systèmes ne se contentent pas de transporter des données mais les comprennent et les enrichissent. Les grands modèles de langage, en particulier, ouvrent des possibilités de compréhension sémantique qui auraient semblé science-fiction il y a quelques années. L'AIOps promet des systèmes qui s'adaptent et se corrigent automatiquement.</w:t>
      </w:r>
    </w:p>
    <w:p>
      <w:pPr>
        <w:spacing w:after="200" w:line="276"/>
        <w:jc w:val="both"/>
      </w:pPr>
      <w:r>
        <w:rPr>
          <w:rFonts w:ascii="Georgia" w:cs="Georgia" w:eastAsia="Georgia" w:hAnsi="Georgia"/>
          <w:sz w:val="24"/>
          <w:szCs w:val="24"/>
        </w:rPr>
        <w:t xml:space="preserve">Le chapitre suivant formalisera ces développements dans le concept d'interopérabilité cognitivo-adaptative. Cette nouvelle définition de l'interopérabilité intègre les capacités cognitives de l'IA et l'adaptabilité des architectures modernes pour dépasser les limites des approches traditionnelles.</w:t>
      </w:r>
    </w:p>
    <w:p>
      <w:pPr>
        <w:pStyle w:val="Heading2"/>
      </w:pPr>
      <w:r>
        <w:rPr>
          <w:rFonts w:ascii="Arial" w:cs="Arial" w:eastAsia="Arial" w:hAnsi="Arial"/>
          <w:b/>
          <w:bCs/>
        </w:rPr>
        <w:t xml:space="preserve">I.11.7 Résumé</w:t>
      </w:r>
    </w:p>
    <w:p>
      <w:pPr>
        <w:spacing w:after="200" w:line="276"/>
        <w:jc w:val="both"/>
      </w:pPr>
      <w:r>
        <w:rPr>
          <w:rFonts w:ascii="Georgia" w:cs="Georgia" w:eastAsia="Georgia" w:hAnsi="Georgia"/>
          <w:sz w:val="24"/>
          <w:szCs w:val="24"/>
        </w:rPr>
        <w:t xml:space="preserve">La convergence de l'IA et des architectures événementielles crée des systèmes capables de comprendre et réagir intelligemment aux flux de données en temps réel. L'IA s'entraîne continuellement sur les événements et influence immédiatement les décisions, comme le démontrent la détection de fraude et la personnalisation.</w:t>
      </w:r>
    </w:p>
    <w:p>
      <w:pPr>
        <w:spacing w:after="200" w:line="276"/>
        <w:jc w:val="both"/>
      </w:pPr>
      <w:r>
        <w:rPr>
          <w:rFonts w:ascii="Georgia" w:cs="Georgia" w:eastAsia="Georgia" w:hAnsi="Georgia"/>
          <w:sz w:val="24"/>
          <w:szCs w:val="24"/>
        </w:rPr>
        <w:t xml:space="preserve">L'opérationnalisation de l'IA sur les flux exige des patterns spécifiques : Feature Stores pour la cohérence des caractéristiques, Model Serving pour l'inférence à faible latence, MLOps pour le cycle de vie des modèles. L'intégration avec Kafka peut aller jusqu'à l'embarquement de l'inférence dans les applications de streaming.</w:t>
      </w:r>
    </w:p>
    <w:p>
      <w:pPr>
        <w:spacing w:after="200" w:line="276"/>
        <w:jc w:val="both"/>
      </w:pPr>
      <w:r>
        <w:rPr>
          <w:rFonts w:ascii="Georgia" w:cs="Georgia" w:eastAsia="Georgia" w:hAnsi="Georgia"/>
          <w:sz w:val="24"/>
          <w:szCs w:val="24"/>
        </w:rPr>
        <w:t xml:space="preserve">Les LLM transforment l'interopérabilité grâce à leur capacité de few-shot learning, d'interprétation de données non structurées et de compréhension contextuelle. L'AIOps avancée promet des systèmes auto-adaptatifs capables de détecter les anomalies, diagnostiquer les causes et appliquer des remédiations automatiquement.</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Définition de l'Interopérabilité Cognitivo-Adaptative</w:t>
      </w:r>
      <w:r>
        <w:rPr>
          <w:rFonts w:ascii="Georgia" w:cs="Georgia" w:eastAsia="Georgia" w:hAnsi="Georgia"/>
          <w:b w:val="false"/>
          <w:bCs w:val="false"/>
          <w:i/>
          <w:iCs/>
          <w:sz w:val="24"/>
          <w:szCs w:val="24"/>
        </w:rPr>
        <w:t xml:space="preserve">, synthétise ces développements dans un nouveau cadre conceptuel. L'interopérabilité cognitivo-adaptative (ICA) dépasse la simple interopérabilité sémantique en intégrant l'intention, le contexte et l'adaptation dynamique. Le Jumeau Numérique Cognitif émerge comme architecture de référence pour ces systèmes intelligents.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3 : Interopérabilité Cognitive et Adaptative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2026-01-11T02:33:41.123Z</dcterms:created>
  <dcterms:modified xsi:type="dcterms:W3CDTF">2026-01-11T02:33:41.124Z</dcterms:modified>
</cp:coreProperties>
</file>

<file path=docProps/custom.xml><?xml version="1.0" encoding="utf-8"?>
<Properties xmlns="http://schemas.openxmlformats.org/officeDocument/2006/custom-properties" xmlns:vt="http://schemas.openxmlformats.org/officeDocument/2006/docPropsVTypes"/>
</file>