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444444"/>
          <w:sz w:val="32"/>
          <w:szCs w:val="32"/>
        </w:rPr>
        <w:t xml:space="preserve">PARTIE 2</w:t>
      </w:r>
    </w:p>
    <w:p>
      <w:pPr>
        <w:spacing w:after="600"/>
        <w:jc w:val="center"/>
      </w:pPr>
      <w:r>
        <w:rPr>
          <w:rFonts w:ascii="Arial" w:cs="Arial" w:eastAsia="Arial" w:hAnsi="Arial"/>
          <w:b/>
          <w:bCs/>
          <w:color w:val="666666"/>
          <w:sz w:val="28"/>
          <w:szCs w:val="28"/>
        </w:rPr>
        <w:t xml:space="preserve">Architecture Réactive et Écosystème</w:t>
      </w:r>
    </w:p>
    <w:p>
      <w:pPr>
        <w:spacing w:after="80"/>
        <w:jc w:val="center"/>
      </w:pPr>
      <w:r>
        <w:rPr>
          <w:rFonts w:ascii="Arial" w:cs="Arial" w:eastAsia="Arial" w:hAnsi="Arial"/>
          <w:b/>
          <w:bCs/>
          <w:color w:val="666666"/>
          <w:sz w:val="28"/>
          <w:szCs w:val="28"/>
        </w:rPr>
        <w:t xml:space="preserve">CHAPITRE I.4</w:t>
      </w:r>
    </w:p>
    <w:p>
      <w:pPr>
        <w:pStyle w:val="Heading1"/>
        <w:spacing w:after="400"/>
        <w:jc w:val="center"/>
      </w:pPr>
      <w:r>
        <w:rPr>
          <w:rFonts w:ascii="Arial" w:cs="Arial" w:eastAsia="Arial" w:hAnsi="Arial"/>
          <w:b/>
          <w:bCs/>
          <w:sz w:val="36"/>
          <w:szCs w:val="36"/>
        </w:rPr>
        <w:t xml:space="preserve">Principes de l'Architecture Réactive, Hybride et Composable</w:t>
      </w:r>
    </w:p>
    <w:p>
      <w:pPr>
        <w:spacing w:before="200" w:after="400"/>
        <w:ind w:left="2880"/>
        <w:jc w:val="right"/>
      </w:pPr>
      <w:r>
        <w:rPr>
          <w:rFonts w:ascii="Georgia" w:cs="Georgia" w:eastAsia="Georgia" w:hAnsi="Georgia"/>
          <w:i/>
          <w:iCs/>
          <w:sz w:val="22"/>
          <w:szCs w:val="22"/>
        </w:rPr>
        <w:t xml:space="preserve">« L'architecture est le jeu savant, correct et magnifique des volumes assemblés sous la lumière. »
— Le Corbusier</w:t>
      </w:r>
    </w:p>
    <w:p>
      <w:pPr>
        <w:spacing w:after="200" w:line="276"/>
        <w:jc w:val="both"/>
      </w:pPr>
      <w:r>
        <w:rPr>
          <w:rFonts w:ascii="Georgia" w:cs="Georgia" w:eastAsia="Georgia" w:hAnsi="Georgia"/>
          <w:sz w:val="24"/>
          <w:szCs w:val="24"/>
        </w:rPr>
        <w:t xml:space="preserve">La première partie de ce volume a établi le diagnostic de la crise de l'intégration et posé les fondements conceptuels de l'interopérabilité. Cette deuxième partie développe la solution architecturale : un système nerveux numérique capable de percevoir les événements métier en temps réel, de les traiter intelligemment et de coordonner des réponses adaptées. Ce premier chapitre présente les principes fondateurs de cette architecture réactive, hybride et composable.</w:t>
      </w:r>
    </w:p>
    <w:p>
      <w:pPr>
        <w:spacing w:after="200" w:line="276"/>
        <w:jc w:val="both"/>
      </w:pPr>
      <w:r>
        <w:rPr>
          <w:rFonts w:ascii="Georgia" w:cs="Georgia" w:eastAsia="Georgia" w:hAnsi="Georgia"/>
          <w:sz w:val="24"/>
          <w:szCs w:val="24"/>
        </w:rPr>
        <w:t xml:space="preserve">La métaphore du système nerveux n'est pas fortuite. Tout comme le système nerveux biologique permet à un organisme de s'adapter à son environnement en captant des stimuli, en les traitant et en déclenchant des réponses coordonnées, le système nerveux numérique de l'entreprise doit assurer la circulation fluide de l'information et la coordination des actions à travers un écosystème de systèmes hétérogènes. Cette vision stratégique guide les choix architecturaux que nous allons développer.</w:t>
      </w:r>
    </w:p>
    <w:p>
      <w:pPr>
        <w:pStyle w:val="Heading2"/>
      </w:pPr>
      <w:r>
        <w:rPr>
          <w:rFonts w:ascii="Arial" w:cs="Arial" w:eastAsia="Arial" w:hAnsi="Arial"/>
          <w:b/>
          <w:bCs/>
        </w:rPr>
        <w:t xml:space="preserve">I.4.1 Le Système Nerveux Numérique : Vision et Objectifs Stratégiques</w:t>
      </w:r>
    </w:p>
    <w:p>
      <w:pPr>
        <w:spacing w:after="200" w:line="276"/>
        <w:jc w:val="both"/>
      </w:pPr>
      <w:r>
        <w:rPr>
          <w:rFonts w:ascii="Georgia" w:cs="Georgia" w:eastAsia="Georgia" w:hAnsi="Georgia"/>
          <w:sz w:val="24"/>
          <w:szCs w:val="24"/>
        </w:rPr>
        <w:t xml:space="preserve">Le concept de système nerveux numérique, popularisé par Bill Gates à la fin des années 1990, désigne l'infrastructure informationnelle qui permet à une organisation de percevoir son environnement, de traiter l'information et de réagir de manière coordonnée. Vingt-cinq ans plus tard, cette vision demeure pertinente, mais les moyens de la réaliser ont considérablement évolué. L'émergence du cloud computing, des architectures événementielles et de l'intelligence artificielle transforme ce qui était alors une aspiration en réalité opérationnelle.</w:t>
      </w:r>
    </w:p>
    <w:p>
      <w:pPr>
        <w:spacing w:after="200" w:line="276"/>
        <w:jc w:val="both"/>
      </w:pPr>
      <w:r>
        <w:rPr>
          <w:rFonts w:ascii="Georgia" w:cs="Georgia" w:eastAsia="Georgia" w:hAnsi="Georgia"/>
          <w:sz w:val="24"/>
          <w:szCs w:val="24"/>
        </w:rPr>
        <w:t xml:space="preserve">Les objectifs stratégiques du système nerveux numérique s'articulent autour de quatre axes. Le premier est la conscience situationnelle : la capacité de l'organisation à percevoir en temps réel les événements significatifs — une commande passée, un équipement défaillant, un client insatisfait, une opportunité de marché. Cette conscience exige de capturer les événements à leur source, de les propager sans délai et de les rendre accessibles aux systèmes et aux personnes concernés.</w:t>
      </w:r>
    </w:p>
    <w:p>
      <w:pPr>
        <w:spacing w:after="200" w:line="276"/>
        <w:jc w:val="both"/>
      </w:pPr>
      <w:r>
        <w:rPr>
          <w:rFonts w:ascii="Georgia" w:cs="Georgia" w:eastAsia="Georgia" w:hAnsi="Georgia"/>
          <w:sz w:val="24"/>
          <w:szCs w:val="24"/>
        </w:rPr>
        <w:t xml:space="preserve">Le deuxième objectif est la réactivité opérationnelle : la capacité de déclencher des réponses appropriées aux événements détectés dans des délais compatibles avec les exigences métier. Pour une détection de fraude, ce délai se mesure en millisecondes. Pour une rupture de stock, en minutes. Pour une évolution réglementaire, en jours. L'architecture doit supporter cette diversité de temporalités sans imposer un modèle unique.</w:t>
      </w:r>
    </w:p>
    <w:p>
      <w:pPr>
        <w:spacing w:after="200" w:line="276"/>
        <w:jc w:val="both"/>
      </w:pPr>
      <w:r>
        <w:rPr>
          <w:rFonts w:ascii="Georgia" w:cs="Georgia" w:eastAsia="Georgia" w:hAnsi="Georgia"/>
          <w:sz w:val="24"/>
          <w:szCs w:val="24"/>
        </w:rPr>
        <w:t xml:space="preserve">Le troisième objectif est l'adaptabilité continue : la capacité de faire évoluer les traitements et les règles de réaction sans refonte majeure de l'infrastructure. Les conditions du marché changent, les réglementations évoluent, les stratégies se transforment. Un système nerveux numérique efficace permet d'ajuster les comportements sans interrompre les opérations, par configuration plutôt que par développement.</w:t>
      </w:r>
    </w:p>
    <w:p>
      <w:pPr>
        <w:spacing w:after="200" w:line="276"/>
        <w:jc w:val="both"/>
      </w:pPr>
      <w:r>
        <w:rPr>
          <w:rFonts w:ascii="Georgia" w:cs="Georgia" w:eastAsia="Georgia" w:hAnsi="Georgia"/>
          <w:sz w:val="24"/>
          <w:szCs w:val="24"/>
        </w:rPr>
        <w:t xml:space="preserve">Le quatrième objectif est l'intelligence distribuée : la capacité de traiter l'information au plus près de sa source plutôt que de tout centraliser. Cette distribution réduit les latences, améliore la résilience et permet de traiter des volumes que la centralisation rendrait ingérables. Elle préfigure également l'émergence des agents cognitifs que nous développerons dans la quatrième partie de ce volume.</w:t>
      </w:r>
    </w:p>
    <w:p>
      <w:pPr>
        <w:pStyle w:val="Heading2"/>
      </w:pPr>
      <w:r>
        <w:rPr>
          <w:rFonts w:ascii="Arial" w:cs="Arial" w:eastAsia="Arial" w:hAnsi="Arial"/>
          <w:b/>
          <w:bCs/>
        </w:rPr>
        <w:t xml:space="preserve">I.4.2 La Symbiose API et Événements : Unifier les Mondes Synchrone et Asynchrone</w:t>
      </w:r>
    </w:p>
    <w:p>
      <w:pPr>
        <w:spacing w:after="200" w:line="276"/>
        <w:jc w:val="both"/>
      </w:pPr>
      <w:r>
        <w:rPr>
          <w:rFonts w:ascii="Georgia" w:cs="Georgia" w:eastAsia="Georgia" w:hAnsi="Georgia"/>
          <w:sz w:val="24"/>
          <w:szCs w:val="24"/>
        </w:rPr>
        <w:t xml:space="preserve">L'architecture réactive repose sur la symbiose de deux paradigmes complémentaires : les API pour les interactions synchrones et l'architecture orientée événements (EDA) pour les flux asynchrones. Loin de s'opposer, ces paradigmes se complètent pour couvrir l'ensemble des besoins d'interopérabilité de l'entreprise moderne.</w:t>
      </w:r>
    </w:p>
    <w:p>
      <w:pPr>
        <w:spacing w:after="200" w:line="276"/>
        <w:jc w:val="both"/>
      </w:pPr>
      <w:r>
        <w:rPr>
          <w:rFonts w:ascii="Georgia" w:cs="Georgia" w:eastAsia="Georgia" w:hAnsi="Georgia"/>
          <w:sz w:val="24"/>
          <w:szCs w:val="24"/>
        </w:rPr>
        <w:t xml:space="preserve">Les API (Application Programming Interfaces) constituent le système nerveux périphérique de l'entreprise. Elles exposent les capacités de chaque système sous forme de services invocables, avec des contrats bien définis. Le paradigme REST, dominant depuis une décennie, offre une approche simple et universelle basée sur les standards du Web. Les alternatives comme GraphQL apportent plus de flexibilité pour les cas d'usage complexes. gRPC, développé par Google, optimise les performances pour les communications entre microservices.</w:t>
      </w:r>
    </w:p>
    <w:p>
      <w:pPr>
        <w:spacing w:after="200" w:line="276"/>
        <w:jc w:val="both"/>
      </w:pPr>
      <w:r>
        <w:rPr>
          <w:rFonts w:ascii="Georgia" w:cs="Georgia" w:eastAsia="Georgia" w:hAnsi="Georgia"/>
          <w:sz w:val="24"/>
          <w:szCs w:val="24"/>
        </w:rPr>
        <w:t xml:space="preserve">L'architecture orientée événements constitue le système nerveux central. Elle permet aux systèmes de communiquer de manière asynchrone en publiant et en s'abonnant à des flux d'événements. Un événement représente un fait qui s'est produit — une commande passée, un paiement reçu, un capteur déclenché. Contrairement aux appels API qui demandent une réponse immédiate, les événements sont émis sans attente de réponse ; les systèmes intéressés les consomment selon leur propre rythme.</w:t>
      </w:r>
    </w:p>
    <w:p>
      <w:pPr>
        <w:spacing w:after="200" w:line="276"/>
        <w:jc w:val="both"/>
      </w:pPr>
      <w:r>
        <w:rPr>
          <w:rFonts w:ascii="Georgia" w:cs="Georgia" w:eastAsia="Georgia" w:hAnsi="Georgia"/>
          <w:sz w:val="24"/>
          <w:szCs w:val="24"/>
        </w:rPr>
        <w:t xml:space="preserve">La complémentarité de ces paradigmes répond à des besoins distincts. Les API conviennent aux interactions de type requête-réponse où un système a besoin d'une information ou d'une action immédiate : consulter le solde d'un compte, créer une commande, valider une identité. Les événements conviennent aux notifications et à la propagation d'état : informer que quelque chose s'est produit sans imposer de traitement particulier aux destinataires.</w:t>
      </w:r>
    </w:p>
    <w:p>
      <w:pPr>
        <w:spacing w:before="300" w:after="200"/>
      </w:pPr>
      <w:r>
        <w:rPr>
          <w:rFonts w:ascii="Arial" w:cs="Arial" w:eastAsia="Arial" w:hAnsi="Arial"/>
          <w:b/>
          <w:bCs/>
          <w:i/>
          <w:iCs/>
          <w:sz w:val="22"/>
          <w:szCs w:val="22"/>
        </w:rPr>
        <w:t xml:space="preserve">Tableau I.4.1 — Comparaison des Paradigmes API et Événements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1"/>
                <w:szCs w:val="21"/>
              </w:rPr>
              <w:t xml:space="preserve">Caractéristique</w:t>
            </w:r>
          </w:p>
        </w:tc>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1"/>
                <w:szCs w:val="21"/>
              </w:rPr>
              <w:t xml:space="preserve">API (Synchrone)</w:t>
            </w:r>
          </w:p>
        </w:tc>
        <w:tc>
          <w:tcPr>
            <w:tcW w:type="dxa" w:w="312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1"/>
                <w:szCs w:val="21"/>
              </w:rPr>
              <w:t xml:space="preserve">Événements (Asynchrone)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Modèle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Requête-Réponse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Publication-Abonnement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Couplage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Temporel (attente)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Découplé (asynchrone)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Cas d'usage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Consultation, action immédiate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Notification, propagation d'état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Disponibilité</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Dépendante du serveur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Résiliente (broker)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Scalabilité</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Limitée par le serveur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Horizontale (partitions)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Standards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OpenAPI, REST, GraphQL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1"/>
                <w:szCs w:val="21"/>
              </w:rPr>
              <w:t xml:space="preserve">AsyncAPI, CloudEvents, Kafka</w:t>
            </w:r>
          </w:p>
        </w:tc>
      </w:tr>
    </w:tbl>
    <w:p>
      <w:pPr>
        <w:spacing w:before="200"/>
      </w:pPr>
    </w:p>
    <w:p>
      <w:pPr>
        <w:spacing w:after="200" w:line="276"/>
        <w:jc w:val="both"/>
      </w:pPr>
      <w:r>
        <w:rPr>
          <w:rFonts w:ascii="Georgia" w:cs="Georgia" w:eastAsia="Georgia" w:hAnsi="Georgia"/>
          <w:sz w:val="24"/>
          <w:szCs w:val="24"/>
        </w:rPr>
        <w:t xml:space="preserve">Dans une architecture réactive mature, ces deux paradigmes coexistent et s'enrichissent mutuellement. Une action déclenchée via API peut générer des événements consommés par d'autres systèmes. Un événement peut déclencher un appel API pour enrichir son contexte. Les plateformes modernes comme Confluent permettent d'exposer des flux d'événements Kafka via des API REST, facilitant l'intégration de systèmes qui ne supportent pas nativement le protocole Kafka.</w:t>
      </w:r>
    </w:p>
    <w:p>
      <w:pPr>
        <w:pStyle w:val="Heading2"/>
      </w:pPr>
      <w:r>
        <w:rPr>
          <w:rFonts w:ascii="Arial" w:cs="Arial" w:eastAsia="Arial" w:hAnsi="Arial"/>
          <w:b/>
          <w:bCs/>
        </w:rPr>
        <w:t xml:space="preserve">I.4.3 Les Piliers du Manifeste Réactif</w:t>
      </w:r>
    </w:p>
    <w:p>
      <w:pPr>
        <w:spacing w:after="200" w:line="276"/>
        <w:jc w:val="both"/>
      </w:pPr>
      <w:r>
        <w:rPr>
          <w:rFonts w:ascii="Georgia" w:cs="Georgia" w:eastAsia="Georgia" w:hAnsi="Georgia"/>
          <w:sz w:val="24"/>
          <w:szCs w:val="24"/>
        </w:rPr>
        <w:t xml:space="preserve">Le Manifeste Réactif, publié en 2014 par Jonas Bonér et ses collaborateurs, a formalisé les principes des systèmes réactifs. Ce manifeste, signé par des milliers de praticiens, définit quatre propriétés essentielles que tout système réactif doit exhiber : la réactivité, la résilience, l'élasticité et l'orientation message. Ces propriétés ne sont pas des fonctionnalités à ajouter, mais des qualités architecturales à concevoir dès l'origine.</w:t>
      </w:r>
    </w:p>
    <w:p>
      <w:pPr>
        <w:spacing w:after="200" w:line="276"/>
        <w:jc w:val="both"/>
      </w:pPr>
      <w:r>
        <w:rPr>
          <w:rFonts w:ascii="Georgia" w:cs="Georgia" w:eastAsia="Georgia" w:hAnsi="Georgia"/>
          <w:b w:val="false"/>
          <w:bCs w:val="false"/>
          <w:i w:val="false"/>
          <w:iCs w:val="false"/>
          <w:sz w:val="24"/>
          <w:szCs w:val="24"/>
        </w:rPr>
        <w:t xml:space="preserve">La </w:t>
      </w:r>
      <w:r>
        <w:rPr>
          <w:rFonts w:ascii="Georgia" w:cs="Georgia" w:eastAsia="Georgia" w:hAnsi="Georgia"/>
          <w:b/>
          <w:bCs/>
          <w:i/>
          <w:iCs/>
          <w:sz w:val="24"/>
          <w:szCs w:val="24"/>
        </w:rPr>
        <w:t xml:space="preserve">réactivité</w:t>
      </w:r>
      <w:r>
        <w:rPr>
          <w:rFonts w:ascii="Georgia" w:cs="Georgia" w:eastAsia="Georgia" w:hAnsi="Georgia"/>
          <w:b w:val="false"/>
          <w:bCs w:val="false"/>
          <w:i w:val="false"/>
          <w:iCs w:val="false"/>
          <w:sz w:val="24"/>
          <w:szCs w:val="24"/>
        </w:rPr>
        <w:t xml:space="preserve"> (responsive) désigne la capacité du système à répondre promptement aux sollicitations. Un système réactif fournit des temps de réponse consistants et prévisibles, établissant ainsi un contrat de confiance avec ses utilisateurs. Cette réactivité ne concerne pas seulement la performance brute, mais la fiabilité des temps de réponse : un système qui répond parfois en 10 millisecondes et parfois en 10 secondes n'est pas véritablement réactif.</w:t>
      </w:r>
    </w:p>
    <w:p>
      <w:pPr>
        <w:spacing w:after="200" w:line="276"/>
        <w:jc w:val="both"/>
      </w:pPr>
      <w:r>
        <w:rPr>
          <w:rFonts w:ascii="Georgia" w:cs="Georgia" w:eastAsia="Georgia" w:hAnsi="Georgia"/>
          <w:b w:val="false"/>
          <w:bCs w:val="false"/>
          <w:i w:val="false"/>
          <w:iCs w:val="false"/>
          <w:sz w:val="24"/>
          <w:szCs w:val="24"/>
        </w:rPr>
        <w:t xml:space="preserve">La </w:t>
      </w:r>
      <w:r>
        <w:rPr>
          <w:rFonts w:ascii="Georgia" w:cs="Georgia" w:eastAsia="Georgia" w:hAnsi="Georgia"/>
          <w:b/>
          <w:bCs/>
          <w:i/>
          <w:iCs/>
          <w:sz w:val="24"/>
          <w:szCs w:val="24"/>
        </w:rPr>
        <w:t xml:space="preserve">résilience</w:t>
      </w:r>
      <w:r>
        <w:rPr>
          <w:rFonts w:ascii="Georgia" w:cs="Georgia" w:eastAsia="Georgia" w:hAnsi="Georgia"/>
          <w:b w:val="false"/>
          <w:bCs w:val="false"/>
          <w:i w:val="false"/>
          <w:iCs w:val="false"/>
          <w:sz w:val="24"/>
          <w:szCs w:val="24"/>
        </w:rPr>
        <w:t xml:space="preserve"> (resilient) désigne la capacité du système à rester réactif en cas de défaillance. Les pannes sont inévitables dans tout système distribué ; la résilience consiste à les contenir et à les traiter sans affecter l'ensemble. Les techniques de résilience incluent la réplication (plusieurs instances d'un composant), l'isolation (les pannes ne se propagent pas), et la délégation (la gestion des erreurs est confiée à des composants spécialisés).</w:t>
      </w:r>
    </w:p>
    <w:p>
      <w:pPr>
        <w:spacing w:after="200" w:line="276"/>
        <w:jc w:val="both"/>
      </w:pPr>
      <w:r>
        <w:rPr>
          <w:rFonts w:ascii="Georgia" w:cs="Georgia" w:eastAsia="Georgia" w:hAnsi="Georgia"/>
          <w:b w:val="false"/>
          <w:bCs w:val="false"/>
          <w:i w:val="false"/>
          <w:iCs w:val="false"/>
          <w:sz w:val="24"/>
          <w:szCs w:val="24"/>
        </w:rPr>
        <w:t xml:space="preserve">L'</w:t>
      </w:r>
      <w:r>
        <w:rPr>
          <w:rFonts w:ascii="Georgia" w:cs="Georgia" w:eastAsia="Georgia" w:hAnsi="Georgia"/>
          <w:b/>
          <w:bCs/>
          <w:i/>
          <w:iCs/>
          <w:sz w:val="24"/>
          <w:szCs w:val="24"/>
        </w:rPr>
        <w:t xml:space="preserve">élasticité</w:t>
      </w:r>
      <w:r>
        <w:rPr>
          <w:rFonts w:ascii="Georgia" w:cs="Georgia" w:eastAsia="Georgia" w:hAnsi="Georgia"/>
          <w:b w:val="false"/>
          <w:bCs w:val="false"/>
          <w:i w:val="false"/>
          <w:iCs w:val="false"/>
          <w:sz w:val="24"/>
          <w:szCs w:val="24"/>
        </w:rPr>
        <w:t xml:space="preserve"> (elastic) désigne la capacité du système à s'adapter à la charge en allouant ou libérant dynamiquement des ressources. Un système élastique absorbe les pics de charge sans dégradation excessive et libère les ressources inutiles en période creuse. Cette élasticité est particulièrement pertinente dans les environnements infonuagiques où les ressources peuvent être provisionnées à la demande.</w:t>
      </w:r>
    </w:p>
    <w:p>
      <w:pPr>
        <w:spacing w:after="200" w:line="276"/>
        <w:jc w:val="both"/>
      </w:pPr>
      <w:r>
        <w:rPr>
          <w:rFonts w:ascii="Georgia" w:cs="Georgia" w:eastAsia="Georgia" w:hAnsi="Georgia"/>
          <w:b w:val="false"/>
          <w:bCs w:val="false"/>
          <w:i w:val="false"/>
          <w:iCs w:val="false"/>
          <w:sz w:val="24"/>
          <w:szCs w:val="24"/>
        </w:rPr>
        <w:t xml:space="preserve">L'</w:t>
      </w:r>
      <w:r>
        <w:rPr>
          <w:rFonts w:ascii="Georgia" w:cs="Georgia" w:eastAsia="Georgia" w:hAnsi="Georgia"/>
          <w:b/>
          <w:bCs/>
          <w:i/>
          <w:iCs/>
          <w:sz w:val="24"/>
          <w:szCs w:val="24"/>
        </w:rPr>
        <w:t xml:space="preserve">orientation message</w:t>
      </w:r>
      <w:r>
        <w:rPr>
          <w:rFonts w:ascii="Georgia" w:cs="Georgia" w:eastAsia="Georgia" w:hAnsi="Georgia"/>
          <w:b w:val="false"/>
          <w:bCs w:val="false"/>
          <w:i w:val="false"/>
          <w:iCs w:val="false"/>
          <w:sz w:val="24"/>
          <w:szCs w:val="24"/>
        </w:rPr>
        <w:t xml:space="preserve"> (message-driven) constitue le fondement architectural qui permet les trois autres propriétés. En communiquant par messages asynchrones, les composants du système établissent des frontières claires qui permettent l'isolation, le découplage temporel et la distribution de charge. Les messages peuvent être mis en file d'attente, répartis entre consommateurs et rejoués en cas d'échec.</w:t>
      </w:r>
    </w:p>
    <w:p>
      <w:pPr>
        <w:spacing w:after="200" w:line="276"/>
        <w:jc w:val="both"/>
      </w:pPr>
      <w:r>
        <w:rPr>
          <w:rFonts w:ascii="Georgia" w:cs="Georgia" w:eastAsia="Georgia" w:hAnsi="Georgia"/>
          <w:sz w:val="24"/>
          <w:szCs w:val="24"/>
        </w:rPr>
        <w:t xml:space="preserve">Ces quatre piliers forment un système cohérent. L'orientation message permet l'élasticité (les messages peuvent être distribués entre plusieurs consommateurs) et la résilience (les messages persistent si un consommateur est indisponible). L'élasticité et la résilience permettent ensemble de maintenir la réactivité face aux variations de charge et aux défaillances. Le Manifeste Réactif propose ainsi une vision holistique où les propriétés se renforcent mutuellement.</w:t>
      </w:r>
    </w:p>
    <w:p>
      <w:pPr>
        <w:pStyle w:val="Heading2"/>
      </w:pPr>
      <w:r>
        <w:rPr>
          <w:rFonts w:ascii="Arial" w:cs="Arial" w:eastAsia="Arial" w:hAnsi="Arial"/>
          <w:b/>
          <w:bCs/>
        </w:rPr>
        <w:t xml:space="preserve">I.4.4 L'Impératif de Composabilité Stratégique</w:t>
      </w:r>
    </w:p>
    <w:p>
      <w:pPr>
        <w:spacing w:after="200" w:line="276"/>
        <w:jc w:val="both"/>
      </w:pPr>
      <w:r>
        <w:rPr>
          <w:rFonts w:ascii="Georgia" w:cs="Georgia" w:eastAsia="Georgia" w:hAnsi="Georgia"/>
          <w:sz w:val="24"/>
          <w:szCs w:val="24"/>
        </w:rPr>
        <w:t xml:space="preserve">Le cabinet Gartner a identifié la composabilité comme l'une des tendances stratégiques majeures pour les entreprises technologiques. L'entreprise composable est construite à partir de composants modulaires — les Packaged Business Capabilities (PBC) — qui peuvent être assemblés, réarrangés et remplacés pour s'adapter aux évolutions du marché. Cette vision étend les principes de l'architecture en microservices au niveau de la stratégie d'entreprise.</w:t>
      </w:r>
    </w:p>
    <w:p>
      <w:pPr>
        <w:spacing w:after="200" w:line="276"/>
        <w:jc w:val="both"/>
      </w:pPr>
      <w:r>
        <w:rPr>
          <w:rFonts w:ascii="Georgia" w:cs="Georgia" w:eastAsia="Georgia" w:hAnsi="Georgia"/>
          <w:sz w:val="24"/>
          <w:szCs w:val="24"/>
        </w:rPr>
        <w:t xml:space="preserve">La composabilité repose sur trois principes fondamentaux. Le premier est la modularité : les capacités métier sont encapsulées dans des composants autonomes avec des interfaces bien définies. Un composant de gestion des commandes, un composant de facturation, un composant de notification peuvent évoluer indépendamment tant qu'ils respectent leurs contrats d'interface. Cette modularité permet de remplacer un composant par un autre — interne ou externe — sans affecter l'ensemble.</w:t>
      </w:r>
    </w:p>
    <w:p>
      <w:pPr>
        <w:spacing w:after="200" w:line="276"/>
        <w:jc w:val="both"/>
      </w:pPr>
      <w:r>
        <w:rPr>
          <w:rFonts w:ascii="Georgia" w:cs="Georgia" w:eastAsia="Georgia" w:hAnsi="Georgia"/>
          <w:sz w:val="24"/>
          <w:szCs w:val="24"/>
        </w:rPr>
        <w:t xml:space="preserve">Le deuxième principe est l'orchestration : les composants modulaires doivent pouvoir être assemblés en processus métier cohérents. Cette orchestration peut être centralisée (un orchestrateur pilote la séquence des appels) ou distribuée sous forme de chorégraphie (les composants réagissent aux événements selon leurs propres règles). L'architecture réactive, avec sa symbiose API et événements, supporte les deux approches selon les besoins.</w:t>
      </w:r>
    </w:p>
    <w:p>
      <w:pPr>
        <w:spacing w:after="200" w:line="276"/>
        <w:jc w:val="both"/>
      </w:pPr>
      <w:r>
        <w:rPr>
          <w:rFonts w:ascii="Georgia" w:cs="Georgia" w:eastAsia="Georgia" w:hAnsi="Georgia"/>
          <w:sz w:val="24"/>
          <w:szCs w:val="24"/>
        </w:rPr>
        <w:t xml:space="preserve">Le troisième principe est la découverte : dans un écosystème composable, les composants doivent pouvoir se découvrir mutuellement. Les catalogues d'API, les registres de schémas d'événements et les portails développeurs jouent ce rôle de place de marché interne où les équipes peuvent trouver les capacités existantes plutôt que de les redévelopper. Cette découvrabilité est essentielle pour réaliser les bénéfices de la réutilisation promise par la modularité.</w:t>
      </w:r>
    </w:p>
    <w:p>
      <w:pPr>
        <w:spacing w:after="200" w:line="276"/>
        <w:jc w:val="both"/>
      </w:pPr>
      <w:r>
        <w:rPr>
          <w:rFonts w:ascii="Georgia" w:cs="Georgia" w:eastAsia="Georgia" w:hAnsi="Georgia"/>
          <w:sz w:val="24"/>
          <w:szCs w:val="24"/>
        </w:rPr>
        <w:t xml:space="preserve">L'entreprise composable n'est pas une utopie futuriste ; elle émerge progressivement à mesure que les organisations modernisent leurs systèmes. Chaque API exposée, chaque événement publié, chaque microservice déployé ajoute une pièce au puzzle de la composabilité. L'enjeu n'est pas de tout reconstruire, mais de concevoir chaque nouvelle capacité selon ces principes et de moderniser progressivement l'existant. Les patrons de modernisation que nous présenterons au chapitre I.23 fournissent des stratégies concrètes pour cette progression.</w:t>
      </w:r>
    </w:p>
    <w:p>
      <w:pPr>
        <w:pStyle w:val="Heading2"/>
      </w:pPr>
      <w:r>
        <w:rPr>
          <w:rFonts w:ascii="Arial" w:cs="Arial" w:eastAsia="Arial" w:hAnsi="Arial"/>
          <w:b/>
          <w:bCs/>
        </w:rPr>
        <w:t xml:space="preserve">I.4.5 Conclusion : Apporter de la Valeur à l'Entreprise</w:t>
      </w:r>
    </w:p>
    <w:p>
      <w:pPr>
        <w:spacing w:after="200" w:line="276"/>
        <w:jc w:val="both"/>
      </w:pPr>
      <w:r>
        <w:rPr>
          <w:rFonts w:ascii="Georgia" w:cs="Georgia" w:eastAsia="Georgia" w:hAnsi="Georgia"/>
          <w:sz w:val="24"/>
          <w:szCs w:val="24"/>
        </w:rPr>
        <w:t xml:space="preserve">L'architecture réactive, hybride et composable n'est pas une fin en soi, mais un moyen de créer de la valeur pour l'entreprise. Sa justification ultime réside dans sa capacité à supporter les objectifs stratégiques : accélérer le time-to-market, améliorer l'expérience client, optimiser les opérations, permettre l'innovation. Chaque investissement architectural doit être évalué à l'aune de sa contribution à ces objectifs.</w:t>
      </w:r>
    </w:p>
    <w:p>
      <w:pPr>
        <w:spacing w:after="200" w:line="276"/>
        <w:jc w:val="both"/>
      </w:pPr>
      <w:r>
        <w:rPr>
          <w:rFonts w:ascii="Georgia" w:cs="Georgia" w:eastAsia="Georgia" w:hAnsi="Georgia"/>
          <w:sz w:val="24"/>
          <w:szCs w:val="24"/>
        </w:rPr>
        <w:t xml:space="preserve">La conscience situationnelle qu'apporte le système nerveux numérique permet une prise de décision plus rapide et plus informée. La réactivité opérationnelle réduit les délais et améliore la satisfaction client. L'adaptabilité continue permet de saisir les opportunités et de répondre aux menaces avant les concurrents. L'intelligence distribuée prépare l'organisation à l'ère des agents cognitifs qui pourront agir de manière autonome au plus près des événements.</w:t>
      </w:r>
    </w:p>
    <w:p>
      <w:pPr>
        <w:spacing w:after="200" w:line="276"/>
        <w:jc w:val="both"/>
      </w:pPr>
      <w:r>
        <w:rPr>
          <w:rFonts w:ascii="Georgia" w:cs="Georgia" w:eastAsia="Georgia" w:hAnsi="Georgia"/>
          <w:sz w:val="24"/>
          <w:szCs w:val="24"/>
        </w:rPr>
        <w:t xml:space="preserve">Les chapitres suivants de cette partie détailleront les composants de cette architecture. Nous explorerons l'écosystème API avec ses protocoles et sa gouvernance, l'architecture orientée événements avec Apache Kafka et les maillages d'événements, les contrats de données qui garantissent la fiabilité des échanges, et les pratiques d'observabilité qui permettent de comprendre le comportement des systèmes en production. Des études de cas illustreront comment les géants du numérique ont mis en œuvre ces principes à l'échelle.</w:t>
      </w:r>
    </w:p>
    <w:p>
      <w:pPr>
        <w:pStyle w:val="Heading2"/>
      </w:pPr>
      <w:r>
        <w:rPr>
          <w:rFonts w:ascii="Arial" w:cs="Arial" w:eastAsia="Arial" w:hAnsi="Arial"/>
          <w:b/>
          <w:bCs/>
        </w:rPr>
        <w:t xml:space="preserve">I.4.6 Résumé</w:t>
      </w:r>
    </w:p>
    <w:p>
      <w:pPr>
        <w:spacing w:after="200" w:line="276"/>
        <w:jc w:val="both"/>
      </w:pPr>
      <w:r>
        <w:rPr>
          <w:rFonts w:ascii="Georgia" w:cs="Georgia" w:eastAsia="Georgia" w:hAnsi="Georgia"/>
          <w:sz w:val="24"/>
          <w:szCs w:val="24"/>
        </w:rPr>
        <w:t xml:space="preserve">Le système nerveux numérique constitue l'infrastructure informationnelle qui permet à l'entreprise de percevoir son environnement, de traiter l'information et de réagir de manière coordonnée. Ses objectifs stratégiques — conscience situationnelle, réactivité opérationnelle, adaptabilité continue et intelligence distribuée — guident les choix architecturaux de l'entreprise moderne.</w:t>
      </w:r>
    </w:p>
    <w:p>
      <w:pPr>
        <w:spacing w:after="200" w:line="276"/>
        <w:jc w:val="both"/>
      </w:pPr>
      <w:r>
        <w:rPr>
          <w:rFonts w:ascii="Georgia" w:cs="Georgia" w:eastAsia="Georgia" w:hAnsi="Georgia"/>
          <w:sz w:val="24"/>
          <w:szCs w:val="24"/>
        </w:rPr>
        <w:t xml:space="preserve">L'architecture réactive repose sur la symbiose de deux paradigmes complémentaires. Les API assurent les interactions synchrones de type requête-réponse. L'architecture orientée événements permet les flux asynchrones de notification et de propagation d'état. Ensemble, ces paradigmes couvrent l'ensemble des besoins d'interopérabilité.</w:t>
      </w:r>
    </w:p>
    <w:p>
      <w:pPr>
        <w:spacing w:after="200" w:line="276"/>
        <w:jc w:val="both"/>
      </w:pPr>
      <w:r>
        <w:rPr>
          <w:rFonts w:ascii="Georgia" w:cs="Georgia" w:eastAsia="Georgia" w:hAnsi="Georgia"/>
          <w:sz w:val="24"/>
          <w:szCs w:val="24"/>
        </w:rPr>
        <w:t xml:space="preserve">Le Manifeste Réactif définit quatre propriétés essentielles : réactivité (temps de réponse fiables), résilience (robustesse aux pannes), élasticité (adaptation à la charge) et orientation message (découplage par communication asynchrone). Ces propriétés forment un système cohérent où chacune renforce les autres.</w:t>
      </w:r>
    </w:p>
    <w:p>
      <w:pPr>
        <w:spacing w:after="200" w:line="276"/>
        <w:jc w:val="both"/>
      </w:pPr>
      <w:r>
        <w:rPr>
          <w:rFonts w:ascii="Georgia" w:cs="Georgia" w:eastAsia="Georgia" w:hAnsi="Georgia"/>
          <w:sz w:val="24"/>
          <w:szCs w:val="24"/>
        </w:rPr>
        <w:t xml:space="preserve">L'impératif de composabilité stratégique pousse les organisations vers des architectures modulaires où les capacités métier peuvent être assemblées, réarrangées et remplacées. La modularité, l'orchestration et la découverte constituent les trois piliers de l'entreprise composable, préfigurant l'agilité nécessaire à l'ère agentique.</w:t>
      </w:r>
    </w:p>
    <w:p>
      <w:r>
        <w:br w:type="page"/>
      </w:r>
    </w:p>
    <w:p>
      <w:pPr>
        <w:spacing w:before="600" w:after="200"/>
        <w:jc w:val="center"/>
      </w:pPr>
      <w:r>
        <w:rPr>
          <w:rFonts w:ascii="Georgia" w:cs="Georgia" w:eastAsia="Georgia" w:hAnsi="Georgia"/>
          <w:sz w:val="28"/>
          <w:szCs w:val="28"/>
        </w:rPr>
        <w:t xml:space="preserve">◆ ◆ ◆</w:t>
      </w:r>
    </w:p>
    <w:p>
      <w:pPr>
        <w:spacing w:after="200" w:line="276"/>
        <w:jc w:val="both"/>
      </w:pPr>
      <w:r>
        <w:rPr>
          <w:rFonts w:ascii="Georgia" w:cs="Georgia" w:eastAsia="Georgia" w:hAnsi="Georgia"/>
          <w:b w:val="false"/>
          <w:bCs w:val="false"/>
          <w:i/>
          <w:iCs/>
          <w:sz w:val="24"/>
          <w:szCs w:val="24"/>
        </w:rPr>
        <w:t xml:space="preserve">Le chapitre suivant, </w:t>
      </w:r>
      <w:r>
        <w:rPr>
          <w:rFonts w:ascii="Georgia" w:cs="Georgia" w:eastAsia="Georgia" w:hAnsi="Georgia"/>
          <w:b/>
          <w:bCs/>
          <w:i/>
          <w:iCs/>
          <w:sz w:val="24"/>
          <w:szCs w:val="24"/>
        </w:rPr>
        <w:t xml:space="preserve">Écosystème API : Protocoles Modernes et Stratégie Produit</w:t>
      </w:r>
      <w:r>
        <w:rPr>
          <w:rFonts w:ascii="Georgia" w:cs="Georgia" w:eastAsia="Georgia" w:hAnsi="Georgia"/>
          <w:b w:val="false"/>
          <w:bCs w:val="false"/>
          <w:i/>
          <w:iCs/>
          <w:sz w:val="24"/>
          <w:szCs w:val="24"/>
        </w:rPr>
        <w:t xml:space="preserve">, approfondit le premier pilier de l'architecture réactive. Nous y examinerons les protocoles modernes — REST, GraphQL, gRPC — et leurs cas d'usage respectifs. Nous développerons le paradigme « API-as-a-Product » qui transforme les API de simples interfaces techniques en produits à part entière, avec leur cycle de vie, leur gouvernance et leur proposition de valeur.</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20"/>
        <w:szCs w:val="20"/>
      </w:rPr>
      <w:t xml:space="preserve">Partie 2 : Architecture Réactive et Écosystème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1a1a"/>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a2a2a"/>
      <w:sz w:val="30"/>
      <w:szCs w:val="30"/>
    </w:rPr>
  </w:style>
  <w:style w:type="paragraph" w:styleId="Heading3">
    <w:name w:val="Heading 3"/>
    <w:basedOn w:val="Normal"/>
    <w:next w:val="Normal"/>
    <w:qFormat/>
    <w:pPr>
      <w:spacing w:before="280" w:after="140"/>
      <w:outlineLvl w:val="2"/>
    </w:pPr>
    <w:rPr>
      <w:rFonts w:ascii="Arial" w:cs="Arial" w:eastAsia="Arial" w:hAnsi="Arial"/>
      <w:b/>
      <w:bCs/>
      <w:color w:val="3a3a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2026-01-11T01:58:51.131Z</dcterms:created>
  <dcterms:modified xsi:type="dcterms:W3CDTF">2026-01-11T01:58:51.132Z</dcterms:modified>
</cp:coreProperties>
</file>

<file path=docProps/custom.xml><?xml version="1.0" encoding="utf-8"?>
<Properties xmlns="http://schemas.openxmlformats.org/officeDocument/2006/custom-properties" xmlns:vt="http://schemas.openxmlformats.org/officeDocument/2006/docPropsVTypes"/>
</file>