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I.8</w:t>
      </w:r>
    </w:p>
    <w:p>
      <w:pPr>
        <w:pStyle w:val="Heading1"/>
        <w:spacing w:after="400"/>
        <w:jc w:val="center"/>
      </w:pPr>
      <w:r>
        <w:rPr>
          <w:rFonts w:ascii="Arial" w:cs="Arial" w:eastAsia="Arial" w:hAnsi="Arial"/>
          <w:b/>
          <w:bCs/>
          <w:sz w:val="36"/>
          <w:szCs w:val="36"/>
        </w:rPr>
        <w:t xml:space="preserve">Conception, Implémentation et Observabilité de l'Infrastructure</w:t>
      </w:r>
    </w:p>
    <w:p>
      <w:pPr>
        <w:spacing w:before="200" w:after="400"/>
        <w:ind w:left="2880"/>
        <w:jc w:val="right"/>
      </w:pPr>
      <w:r>
        <w:rPr>
          <w:rFonts w:ascii="Georgia" w:cs="Georgia" w:eastAsia="Georgia" w:hAnsi="Georgia"/>
          <w:i/>
          <w:iCs/>
          <w:sz w:val="22"/>
          <w:szCs w:val="22"/>
        </w:rPr>
        <w:t xml:space="preserve">« On ne peut pas améliorer ce qu'on ne peut pas observer. »
— Charity Majors, Co-fondatrice de Honeycomb</w:t>
      </w:r>
    </w:p>
    <w:p>
      <w:pPr>
        <w:spacing w:after="200" w:line="276"/>
        <w:jc w:val="both"/>
      </w:pPr>
      <w:r>
        <w:rPr>
          <w:rFonts w:ascii="Georgia" w:cs="Georgia" w:eastAsia="Georgia" w:hAnsi="Georgia"/>
          <w:sz w:val="24"/>
          <w:szCs w:val="24"/>
        </w:rPr>
        <w:t xml:space="preserve">Les chapitres précédents ont présenté les concepts et les principes de l'architecture réactive : écosystème API, architecture orientée événements, contrats de données. Ce chapitre aborde la dimension opérationnelle : comment concevoir, implémenter et opérer l'infrastructure qui porte cette architecture ? Les meilleures conceptions restent théoriques sans une implémentation robuste et une observabilité qui permet de comprendre le comportement réel des systèmes en production.</w:t>
      </w:r>
    </w:p>
    <w:p>
      <w:pPr>
        <w:spacing w:after="200" w:line="276"/>
        <w:jc w:val="both"/>
      </w:pPr>
      <w:r>
        <w:rPr>
          <w:rFonts w:ascii="Georgia" w:cs="Georgia" w:eastAsia="Georgia" w:hAnsi="Georgia"/>
          <w:sz w:val="24"/>
          <w:szCs w:val="24"/>
        </w:rPr>
        <w:t xml:space="preserve">Nous examinerons d'abord l'architecture de référence d'une plateforme d'intégration moderne. Nous explorerons ensuite les technologies cloud-native qui constituent les briques fondamentales de cette plateforme. Nous développerons les pratiques d'automatisation et de déploiement continu essentielles à l'agilité. Nous approfondirons l'observabilité comme discipline permettant de comprendre les systèmes distribués. Enfin, nous présenterons le paradigme Zéro Confiance qui redéfinit la sécurité à l'ère des architectures ouvertes.</w:t>
      </w:r>
    </w:p>
    <w:p>
      <w:pPr>
        <w:pStyle w:val="Heading2"/>
      </w:pPr>
      <w:r>
        <w:rPr>
          <w:rFonts w:ascii="Arial" w:cs="Arial" w:eastAsia="Arial" w:hAnsi="Arial"/>
          <w:b/>
          <w:bCs/>
        </w:rPr>
        <w:t xml:space="preserve">I.8.1 Architecture de Référence d'une Plateforme d'Intégration Moderne</w:t>
      </w:r>
    </w:p>
    <w:p>
      <w:pPr>
        <w:spacing w:after="200" w:line="276"/>
        <w:jc w:val="both"/>
      </w:pPr>
      <w:r>
        <w:rPr>
          <w:rFonts w:ascii="Georgia" w:cs="Georgia" w:eastAsia="Georgia" w:hAnsi="Georgia"/>
          <w:sz w:val="24"/>
          <w:szCs w:val="24"/>
        </w:rPr>
        <w:t xml:space="preserve">Une plateforme d'intégration moderne se structure en couches complémentaires qui séparent les préoccupations tout en assurant une cohérence d'ensemble. Cette architecture de référence n'est pas un modèle rigide à appliquer uniformément, mais un cadre adaptable aux contextes spécifiques de chaque organisation.</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couche d'exposition</w:t>
      </w:r>
      <w:r>
        <w:rPr>
          <w:rFonts w:ascii="Georgia" w:cs="Georgia" w:eastAsia="Georgia" w:hAnsi="Georgia"/>
          <w:b w:val="false"/>
          <w:bCs w:val="false"/>
          <w:i w:val="false"/>
          <w:iCs w:val="false"/>
          <w:sz w:val="24"/>
          <w:szCs w:val="24"/>
        </w:rPr>
        <w:t xml:space="preserve"> constitue la façade de la plateforme vers le monde extérieur. Elle comprend les passerelles API (API Gateway) qui exposent les services REST et GraphQL, appliquent les politiques de sécurité, et gèrent le trafic. Elle inclut également les points d'entrée événementiels — connecteurs Kafka Connect, endpoints webhook — qui permettent l'ingestion d'événements depuis des sources externes.</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couche de médiation</w:t>
      </w:r>
      <w:r>
        <w:rPr>
          <w:rFonts w:ascii="Georgia" w:cs="Georgia" w:eastAsia="Georgia" w:hAnsi="Georgia"/>
          <w:b w:val="false"/>
          <w:bCs w:val="false"/>
          <w:i w:val="false"/>
          <w:iCs w:val="false"/>
          <w:sz w:val="24"/>
          <w:szCs w:val="24"/>
        </w:rPr>
        <w:t xml:space="preserve"> assure la transformation et le routage des flux. Les brokers de messages — Apache Kafka en position centrale — distribuent les événements entre producteurs et consommateurs. Les processeurs de flux — Kafka Streams, ksqlDB, Apache Flink — transforment, filtrent et enrichissent les événements en temps réel. Les orchestrateurs de workflows coordonnent les processus complexes impliquant plusieurs systèmes.</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couche de persistance</w:t>
      </w:r>
      <w:r>
        <w:rPr>
          <w:rFonts w:ascii="Georgia" w:cs="Georgia" w:eastAsia="Georgia" w:hAnsi="Georgia"/>
          <w:b w:val="false"/>
          <w:bCs w:val="false"/>
          <w:i w:val="false"/>
          <w:iCs w:val="false"/>
          <w:sz w:val="24"/>
          <w:szCs w:val="24"/>
        </w:rPr>
        <w:t xml:space="preserve"> stocke les données selon différentes modalités adaptées aux cas d'usage. Le Lakehouse unifie le stockage analytique avec des capacités transactionnelles. Les bases de données opérationnelles supportent les accès temps réel. Les caches distribuent les données fréquemment accédées pour optimiser les performances. Le Schema Registry persiste les contrats de données.</w:t>
      </w:r>
    </w:p>
    <w:p>
      <w:pPr>
        <w:spacing w:after="200" w:line="276"/>
        <w:jc w:val="both"/>
      </w:pPr>
      <w:r>
        <w:rPr>
          <w:rFonts w:ascii="Georgia" w:cs="Georgia" w:eastAsia="Georgia" w:hAnsi="Georgia"/>
          <w:b w:val="false"/>
          <w:bCs w:val="false"/>
          <w:i w:val="false"/>
          <w:iCs w:val="false"/>
          <w:sz w:val="24"/>
          <w:szCs w:val="24"/>
        </w:rPr>
        <w:t xml:space="preserve">La </w:t>
      </w:r>
      <w:r>
        <w:rPr>
          <w:rFonts w:ascii="Georgia" w:cs="Georgia" w:eastAsia="Georgia" w:hAnsi="Georgia"/>
          <w:b/>
          <w:bCs/>
          <w:i/>
          <w:iCs/>
          <w:sz w:val="24"/>
          <w:szCs w:val="24"/>
        </w:rPr>
        <w:t xml:space="preserve">couche transversale</w:t>
      </w:r>
      <w:r>
        <w:rPr>
          <w:rFonts w:ascii="Georgia" w:cs="Georgia" w:eastAsia="Georgia" w:hAnsi="Georgia"/>
          <w:b w:val="false"/>
          <w:bCs w:val="false"/>
          <w:i w:val="false"/>
          <w:iCs w:val="false"/>
          <w:sz w:val="24"/>
          <w:szCs w:val="24"/>
        </w:rPr>
        <w:t xml:space="preserve"> fournit les services partagés : identité et accès (IAM), observabilité (logs, métriques, traces), sécurité (chiffrement, détection d'intrusion), gouvernance (catalogue, lignage). Ces services sont consommés par toutes les autres couches et assurent la cohérence opérationnelle de l'ensemble.</w:t>
      </w:r>
    </w:p>
    <w:p>
      <w:pPr>
        <w:spacing w:after="200" w:line="276"/>
        <w:jc w:val="both"/>
      </w:pPr>
      <w:r>
        <w:rPr>
          <w:rFonts w:ascii="Georgia" w:cs="Georgia" w:eastAsia="Georgia" w:hAnsi="Georgia"/>
          <w:sz w:val="24"/>
          <w:szCs w:val="24"/>
        </w:rPr>
        <w:t xml:space="preserve">Cette architecture en couches permet une évolution progressive. Une organisation peut commencer par la couche d'exposition avec quelques API, ajouter la médiation événementielle à mesure que les besoins temps réel émergent, et enrichir progressivement les services transversaux. Chaque couche peut évoluer indépendamment tant que les interfaces entre couches restent stables.</w:t>
      </w:r>
    </w:p>
    <w:p>
      <w:pPr>
        <w:pStyle w:val="Heading2"/>
      </w:pPr>
      <w:r>
        <w:rPr>
          <w:rFonts w:ascii="Arial" w:cs="Arial" w:eastAsia="Arial" w:hAnsi="Arial"/>
          <w:b/>
          <w:bCs/>
        </w:rPr>
        <w:t xml:space="preserve">I.8.2 L'Infrastructure Infonuagique Native (Cloud-Native)</w:t>
      </w:r>
    </w:p>
    <w:p>
      <w:pPr>
        <w:spacing w:after="200" w:line="276"/>
        <w:jc w:val="both"/>
      </w:pPr>
      <w:r>
        <w:rPr>
          <w:rFonts w:ascii="Georgia" w:cs="Georgia" w:eastAsia="Georgia" w:hAnsi="Georgia"/>
          <w:sz w:val="24"/>
          <w:szCs w:val="24"/>
        </w:rPr>
        <w:t xml:space="preserve">L'approche cloud-native transforme la manière de concevoir et d'opérer les systèmes. Plutôt que d'adapter des applications traditionnelles au cloud, elle conçoit des systèmes qui exploitent nativement les propriétés du cloud : élasticité, distribution, automatisation. La Cloud Native Computing Foundation (CNCF) définit les technologies et les pratiques qui constituent cet écosystème.</w:t>
      </w:r>
    </w:p>
    <w:p>
      <w:pPr>
        <w:spacing w:after="200" w:line="276"/>
        <w:jc w:val="both"/>
      </w:pPr>
      <w:r>
        <w:rPr>
          <w:rFonts w:ascii="Georgia" w:cs="Georgia" w:eastAsia="Georgia" w:hAnsi="Georgia"/>
          <w:b w:val="false"/>
          <w:bCs w:val="false"/>
          <w:i w:val="false"/>
          <w:iCs w:val="false"/>
          <w:sz w:val="24"/>
          <w:szCs w:val="24"/>
        </w:rPr>
        <w:t xml:space="preserve">Les </w:t>
      </w:r>
      <w:r>
        <w:rPr>
          <w:rFonts w:ascii="Georgia" w:cs="Georgia" w:eastAsia="Georgia" w:hAnsi="Georgia"/>
          <w:b/>
          <w:bCs/>
          <w:i/>
          <w:iCs/>
          <w:sz w:val="24"/>
          <w:szCs w:val="24"/>
        </w:rPr>
        <w:t xml:space="preserve">conteneurs</w:t>
      </w:r>
      <w:r>
        <w:rPr>
          <w:rFonts w:ascii="Georgia" w:cs="Georgia" w:eastAsia="Georgia" w:hAnsi="Georgia"/>
          <w:b w:val="false"/>
          <w:bCs w:val="false"/>
          <w:i w:val="false"/>
          <w:iCs w:val="false"/>
          <w:sz w:val="24"/>
          <w:szCs w:val="24"/>
        </w:rPr>
        <w:t xml:space="preserve">, popularisés par Docker, encapsulent les applications avec leurs dépendances dans des unités portables et reproductibles. Un conteneur s'exécute de manière identique sur le poste d'un développeur, dans un pipeline CI/CD et en production. Cette portabilité élimine les problèmes de « ça marche sur ma machine » et accélère les déploiements.</w:t>
      </w:r>
    </w:p>
    <w:p>
      <w:pPr>
        <w:spacing w:after="200" w:line="276"/>
        <w:jc w:val="both"/>
      </w:pPr>
      <w:r>
        <w:rPr>
          <w:rFonts w:ascii="Georgia" w:cs="Georgia" w:eastAsia="Georgia" w:hAnsi="Georgia"/>
          <w:b w:val="false"/>
          <w:bCs w:val="false"/>
          <w:i w:val="false"/>
          <w:iCs w:val="false"/>
          <w:sz w:val="24"/>
          <w:szCs w:val="24"/>
        </w:rPr>
        <w:t xml:space="preserve"/>
      </w:r>
      <w:r>
        <w:rPr>
          <w:rFonts w:ascii="Georgia" w:cs="Georgia" w:eastAsia="Georgia" w:hAnsi="Georgia"/>
          <w:b/>
          <w:bCs/>
          <w:i/>
          <w:iCs/>
          <w:sz w:val="24"/>
          <w:szCs w:val="24"/>
        </w:rPr>
        <w:t xml:space="preserve">Kubernetes</w:t>
      </w:r>
      <w:r>
        <w:rPr>
          <w:rFonts w:ascii="Georgia" w:cs="Georgia" w:eastAsia="Georgia" w:hAnsi="Georgia"/>
          <w:b w:val="false"/>
          <w:bCs w:val="false"/>
          <w:i w:val="false"/>
          <w:iCs w:val="false"/>
          <w:sz w:val="24"/>
          <w:szCs w:val="24"/>
        </w:rPr>
        <w:t xml:space="preserve">, devenu le standard d'orchestration de conteneurs, automatise le déploiement, la mise à l'échelle et la gestion des applications conteneurisées. Il assure la haute disponibilité par réplication automatique, l'élasticité par ajustement dynamique du nombre d'instances, et la résilience par redémarrage automatique des conteneurs défaillants. Les principaux fournisseurs cloud — Google Cloud (GKE), AWS (EKS), Azure (AKS) — offrent des services Kubernetes gérés.</w:t>
      </w:r>
    </w:p>
    <w:p>
      <w:pPr>
        <w:spacing w:after="200" w:line="276"/>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iCs/>
          <w:sz w:val="24"/>
          <w:szCs w:val="24"/>
        </w:rPr>
        <w:t xml:space="preserve">service mesh</w:t>
      </w:r>
      <w:r>
        <w:rPr>
          <w:rFonts w:ascii="Georgia" w:cs="Georgia" w:eastAsia="Georgia" w:hAnsi="Georgia"/>
          <w:b w:val="false"/>
          <w:bCs w:val="false"/>
          <w:i w:val="false"/>
          <w:iCs w:val="false"/>
          <w:sz w:val="24"/>
          <w:szCs w:val="24"/>
        </w:rPr>
        <w:t xml:space="preserve">, incarné par des solutions comme Istio ou Linkerd, ajoute une couche d'infrastructure pour gérer les communications entre services. Il offre le chiffrement mutuel TLS automatique, l'équilibrage de charge intelligent, la gestion des pannes (circuit breaker, retry), et une observabilité fine des communications. Le service mesh décharge les développeurs de ces préoccupations transversales.</w:t>
      </w:r>
    </w:p>
    <w:p>
      <w:pPr>
        <w:spacing w:after="200" w:line="276"/>
        <w:jc w:val="both"/>
      </w:pPr>
      <w:r>
        <w:rPr>
          <w:rFonts w:ascii="Georgia" w:cs="Georgia" w:eastAsia="Georgia" w:hAnsi="Georgia"/>
          <w:sz w:val="24"/>
          <w:szCs w:val="24"/>
        </w:rPr>
        <w:t xml:space="preserve">Les services managés des fournisseurs cloud accélèrent l'adoption. Confluent Cloud offre Kafka en service géré, éliminant la complexité opérationnelle des clusters. Google Cloud Vertex AI fournit l'infrastructure d'intelligence artificielle. Les bases de données managées — Cloud SQL, Amazon RDS, Azure Cosmos DB — assurent la persistance sans charge d'administration. Cette externalisation de la complexité opérationnelle permet aux équipes de se concentrer sur la valeur métier.</w:t>
      </w:r>
    </w:p>
    <w:p>
      <w:pPr>
        <w:pStyle w:val="Heading2"/>
      </w:pPr>
      <w:r>
        <w:rPr>
          <w:rFonts w:ascii="Arial" w:cs="Arial" w:eastAsia="Arial" w:hAnsi="Arial"/>
          <w:b/>
          <w:bCs/>
        </w:rPr>
        <w:t xml:space="preserve">I.8.3 Automatisation et Pipelines CI/CD</w:t>
      </w:r>
    </w:p>
    <w:p>
      <w:pPr>
        <w:spacing w:after="200" w:line="276"/>
        <w:jc w:val="both"/>
      </w:pPr>
      <w:r>
        <w:rPr>
          <w:rFonts w:ascii="Georgia" w:cs="Georgia" w:eastAsia="Georgia" w:hAnsi="Georgia"/>
          <w:sz w:val="24"/>
          <w:szCs w:val="24"/>
        </w:rPr>
        <w:t xml:space="preserve">L'automatisation constitue le système nerveux opérationnel de la plateforme. Les tâches manuelles, sources d'erreurs et de lenteur, sont remplacées par des processus automatisés reproductibles. L'intégration continue (CI) et le déploiement continu (CD) forment l'épine dorsale de cette automatisation.</w:t>
      </w:r>
    </w:p>
    <w:p>
      <w:pPr>
        <w:spacing w:after="200" w:line="276"/>
        <w:jc w:val="both"/>
      </w:pPr>
      <w:r>
        <w:rPr>
          <w:rFonts w:ascii="Georgia" w:cs="Georgia" w:eastAsia="Georgia" w:hAnsi="Georgia"/>
          <w:sz w:val="24"/>
          <w:szCs w:val="24"/>
        </w:rPr>
        <w:t xml:space="preserve">L'intégration continue automatise la construction et la validation du code à chaque modification. Lorsqu'un développeur pousse du code, le pipeline CI compile l'application, exécute les tests unitaires et d'intégration, analyse la qualité du code, et produit les artefacts déployables. Les problèmes sont détectés en minutes plutôt qu'en jours, permettant une correction rapide. Les outils comme Jenkins, GitLab CI, GitHub Actions et Azure DevOps supportent ces pipelines.</w:t>
      </w:r>
    </w:p>
    <w:p>
      <w:pPr>
        <w:spacing w:after="200" w:line="276"/>
        <w:jc w:val="both"/>
      </w:pPr>
      <w:r>
        <w:rPr>
          <w:rFonts w:ascii="Georgia" w:cs="Georgia" w:eastAsia="Georgia" w:hAnsi="Georgia"/>
          <w:sz w:val="24"/>
          <w:szCs w:val="24"/>
        </w:rPr>
        <w:t xml:space="preserve">Le déploiement continu prolonge l'automatisation jusqu'à la production. Les artefacts validés par la CI sont automatiquement déployés dans les environnements successifs — développement, test, staging, production — avec des validations à chaque étape. Les stratégies de déploiement progressif — blue-green, canary, rolling — limitent l'impact des problèmes en exposant progressivement les nouvelles versions.</w:t>
      </w:r>
    </w:p>
    <w:p>
      <w:pPr>
        <w:spacing w:after="200" w:line="276"/>
        <w:jc w:val="both"/>
      </w:pPr>
      <w:r>
        <w:rPr>
          <w:rFonts w:ascii="Georgia" w:cs="Georgia" w:eastAsia="Georgia" w:hAnsi="Georgia"/>
          <w:sz w:val="24"/>
          <w:szCs w:val="24"/>
        </w:rPr>
        <w:t xml:space="preserve">L'Infrastructure as Code (IaC) étend l'automatisation à l'infrastructure elle-même. Les ressources cloud — réseaux, machines, bases de données — sont décrites dans des fichiers de configuration versionnés. Terraform, Pulumi ou les outils natifs des fournisseurs (CloudFormation, ARM) permettent de provisionner et modifier l'infrastructure de manière reproductible. GitOps pousse cette logique en utilisant Git comme source de vérité pour l'état désiré du système.</w:t>
      </w:r>
    </w:p>
    <w:p>
      <w:pPr>
        <w:spacing w:after="200" w:line="276"/>
        <w:jc w:val="both"/>
      </w:pPr>
      <w:r>
        <w:rPr>
          <w:rFonts w:ascii="Georgia" w:cs="Georgia" w:eastAsia="Georgia" w:hAnsi="Georgia"/>
          <w:sz w:val="24"/>
          <w:szCs w:val="24"/>
        </w:rPr>
        <w:t xml:space="preserve">Pour les architectures événementielles, l'automatisation s'étend aux contrats de données. Les schémas Avro sont versionnés dans Git, validés contre les règles de compatibilité dans la CI, et publiés automatiquement dans le Schema Registry. Les spécifications AsyncAPI génèrent documentation et SDK. Cette automatisation des contrats prévient les régressions et accélère l'onboarding des nouveaux consommateurs.</w:t>
      </w:r>
    </w:p>
    <w:p>
      <w:pPr>
        <w:pStyle w:val="Heading2"/>
      </w:pPr>
      <w:r>
        <w:rPr>
          <w:rFonts w:ascii="Arial" w:cs="Arial" w:eastAsia="Arial" w:hAnsi="Arial"/>
          <w:b/>
          <w:bCs/>
        </w:rPr>
        <w:t xml:space="preserve">I.8.4 De la Supervision à l'Observabilité Unifiée</w:t>
      </w:r>
    </w:p>
    <w:p>
      <w:pPr>
        <w:spacing w:after="200" w:line="276"/>
        <w:jc w:val="both"/>
      </w:pPr>
      <w:r>
        <w:rPr>
          <w:rFonts w:ascii="Georgia" w:cs="Georgia" w:eastAsia="Georgia" w:hAnsi="Georgia"/>
          <w:sz w:val="24"/>
          <w:szCs w:val="24"/>
        </w:rPr>
        <w:t xml:space="preserve">La supervision traditionnelle — vérifier que les serveurs sont en ligne et que les métriques restent dans les seuils — ne suffit plus pour les systèmes distribués modernes. L'observabilité, concept emprunté à la théorie du contrôle, désigne la capacité de comprendre l'état interne d'un système à partir de ses sorties externes. Dans un système observable, toute question sur le comportement du système peut trouver une réponse dans les données collectées.</w:t>
      </w:r>
    </w:p>
    <w:p>
      <w:pPr>
        <w:spacing w:after="200" w:line="276"/>
        <w:jc w:val="both"/>
      </w:pPr>
      <w:r>
        <w:rPr>
          <w:rFonts w:ascii="Georgia" w:cs="Georgia" w:eastAsia="Georgia" w:hAnsi="Georgia"/>
          <w:sz w:val="24"/>
          <w:szCs w:val="24"/>
        </w:rPr>
        <w:t xml:space="preserve">L'observabilité repose sur trois piliers complémentaires. Les logs enregistrent les événements discrets qui se produisent dans le système — erreurs, transactions, décisions. Les métriques quantifient l'état du système sous forme de séries temporelles — latence, débit, taux d'erreur, utilisation des ressources. Les traces suivent le parcours des requêtes à travers les services distribués, permettant de comprendre où le temps est passé et où les erreurs surviennent.</w:t>
      </w:r>
    </w:p>
    <w:p>
      <w:pPr>
        <w:spacing w:before="300" w:after="200"/>
      </w:pPr>
      <w:r>
        <w:rPr>
          <w:rFonts w:ascii="Arial" w:cs="Arial" w:eastAsia="Arial" w:hAnsi="Arial"/>
          <w:b/>
          <w:bCs/>
          <w:i/>
          <w:iCs/>
          <w:sz w:val="22"/>
          <w:szCs w:val="22"/>
        </w:rPr>
        <w:t xml:space="preserve">Tableau I.8.1 — Les Trois Piliers de l'Observabilité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Pilier</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Événements textuels horodatés, contexte détaillé des erreurs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ELK Stack, Loki, Splunk, CloudWatch Logs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Métriques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Séries temporelles numériques, agrégations, alertes sur seuils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Prometheus, Grafana, Datadog, CloudWatch Metrics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Suivi des requêtes distribuées, analyse de latence, dépendances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Jaeger, Zipkin, OpenTelemetry, Honeycomb</w:t>
            </w:r>
          </w:p>
        </w:tc>
      </w:tr>
    </w:tbl>
    <w:p>
      <w:pPr>
        <w:spacing w:before="200"/>
      </w:pPr>
    </w:p>
    <w:p>
      <w:pPr>
        <w:spacing w:after="200" w:line="276"/>
        <w:jc w:val="both"/>
      </w:pPr>
      <w:r>
        <w:rPr>
          <w:rFonts w:ascii="Georgia" w:cs="Georgia" w:eastAsia="Georgia" w:hAnsi="Georgia"/>
          <w:sz w:val="24"/>
          <w:szCs w:val="24"/>
        </w:rPr>
        <w:t xml:space="preserve">OpenTelemetry, projet de la CNCF, unifie la collecte de ces trois types de données avec un format et des SDK standardisés. Les applications instrumentées avec OpenTelemetry peuvent exporter leurs données vers différents backends sans modification. Cette standardisation évite le verrouillage et permet de choisir les outils les plus adaptés à chaque besoin.</w:t>
      </w:r>
    </w:p>
    <w:p>
      <w:pPr>
        <w:spacing w:after="200" w:line="276"/>
        <w:jc w:val="both"/>
      </w:pPr>
      <w:r>
        <w:rPr>
          <w:rFonts w:ascii="Georgia" w:cs="Georgia" w:eastAsia="Georgia" w:hAnsi="Georgia"/>
          <w:sz w:val="24"/>
          <w:szCs w:val="24"/>
        </w:rPr>
        <w:t xml:space="preserve">L'observabilité des flux événementiels présente des défis spécifiques. Les métriques Kafka — lag des consommateurs, débit de production, taille des partitions — sont essentielles pour détecter les goulets d'étranglement. Le traçage doit propager les identifiants de corrélation à travers les événements pour permettre de suivre un processus métier de bout en bout. Confluent Control Center et les intégrations avec les plateformes d'observabilité adressent ces besoins.</w:t>
      </w:r>
    </w:p>
    <w:p>
      <w:pPr>
        <w:spacing w:after="200" w:line="276"/>
        <w:jc w:val="both"/>
      </w:pPr>
      <w:r>
        <w:rPr>
          <w:rFonts w:ascii="Georgia" w:cs="Georgia" w:eastAsia="Georgia" w:hAnsi="Georgia"/>
          <w:sz w:val="24"/>
          <w:szCs w:val="24"/>
        </w:rPr>
        <w:t xml:space="preserve">L'AIOps (Artificial Intelligence for IT Operations) applique l'apprentissage automatique aux données d'observabilité. La détection d'anomalies identifie les comportements inhabituels sans définition préalable de seuils. L'analyse de cause racine corrèle les symptômes pour identifier l'origine des problèmes. La prédiction anticipe les pannes avant qu'elles ne surviennent. Ces capacités deviennent essentielles à mesure que la complexité des systèmes dépasse la capacité d'analyse humaine.</w:t>
      </w:r>
    </w:p>
    <w:p>
      <w:pPr>
        <w:pStyle w:val="Heading2"/>
      </w:pPr>
      <w:r>
        <w:rPr>
          <w:rFonts w:ascii="Arial" w:cs="Arial" w:eastAsia="Arial" w:hAnsi="Arial"/>
          <w:b/>
          <w:bCs/>
        </w:rPr>
        <w:t xml:space="preserve">I.8.5 Sécurité Intrinsèque : Le Paradigme Zéro Confiance</w:t>
      </w:r>
    </w:p>
    <w:p>
      <w:pPr>
        <w:spacing w:after="200" w:line="276"/>
        <w:jc w:val="both"/>
      </w:pPr>
      <w:r>
        <w:rPr>
          <w:rFonts w:ascii="Georgia" w:cs="Georgia" w:eastAsia="Georgia" w:hAnsi="Georgia"/>
          <w:sz w:val="24"/>
          <w:szCs w:val="24"/>
        </w:rPr>
        <w:t xml:space="preserve">Le modèle de sécurité traditionnel, basé sur le périmètre — un réseau interne « de confiance » protégé par un pare-feu — s'effondre face aux architectures modernes. Les systèmes cloud, les API ouvertes, le travail à distance et les microservices distribués dissolvent la notion même de périmètre. Le paradigme Zéro Confiance (Zero Trust) propose une alternative : ne jamais faire confiance implicitement, toujours vérifier explicitement.</w:t>
      </w:r>
    </w:p>
    <w:p>
      <w:pPr>
        <w:spacing w:after="200" w:line="276"/>
        <w:jc w:val="both"/>
      </w:pPr>
      <w:r>
        <w:rPr>
          <w:rFonts w:ascii="Georgia" w:cs="Georgia" w:eastAsia="Georgia" w:hAnsi="Georgia"/>
          <w:b w:val="false"/>
          <w:bCs w:val="false"/>
          <w:i w:val="false"/>
          <w:iCs w:val="false"/>
          <w:sz w:val="24"/>
          <w:szCs w:val="24"/>
        </w:rPr>
        <w:t xml:space="preserve">Le premier principe est </w:t>
      </w:r>
      <w:r>
        <w:rPr>
          <w:rFonts w:ascii="Georgia" w:cs="Georgia" w:eastAsia="Georgia" w:hAnsi="Georgia"/>
          <w:b/>
          <w:bCs/>
          <w:i/>
          <w:iCs/>
          <w:sz w:val="24"/>
          <w:szCs w:val="24"/>
        </w:rPr>
        <w:t xml:space="preserve">« vérifier explicitement »</w:t>
      </w:r>
      <w:r>
        <w:rPr>
          <w:rFonts w:ascii="Georgia" w:cs="Georgia" w:eastAsia="Georgia" w:hAnsi="Georgia"/>
          <w:b w:val="false"/>
          <w:bCs w:val="false"/>
          <w:i w:val="false"/>
          <w:iCs w:val="false"/>
          <w:sz w:val="24"/>
          <w:szCs w:val="24"/>
        </w:rPr>
        <w:t xml:space="preserve">. Chaque requête est authentifiée et autorisée, quelle que soit son origine. L'identité est vérifiée via des tokens (OAuth 2.0, JWT) ou des certificats (mTLS). Les autorisations sont évaluées à chaque accès selon le contexte — utilisateur, ressource, action, conditions. Aucune requête n'est approuvée sur la base de sa seule provenance réseau.</w:t>
      </w:r>
    </w:p>
    <w:p>
      <w:pPr>
        <w:spacing w:after="200" w:line="276"/>
        <w:jc w:val="both"/>
      </w:pPr>
      <w:r>
        <w:rPr>
          <w:rFonts w:ascii="Georgia" w:cs="Georgia" w:eastAsia="Georgia" w:hAnsi="Georgia"/>
          <w:b w:val="false"/>
          <w:bCs w:val="false"/>
          <w:i w:val="false"/>
          <w:iCs w:val="false"/>
          <w:sz w:val="24"/>
          <w:szCs w:val="24"/>
        </w:rPr>
        <w:t xml:space="preserve">Le deuxième principe est </w:t>
      </w:r>
      <w:r>
        <w:rPr>
          <w:rFonts w:ascii="Georgia" w:cs="Georgia" w:eastAsia="Georgia" w:hAnsi="Georgia"/>
          <w:b/>
          <w:bCs/>
          <w:i/>
          <w:iCs/>
          <w:sz w:val="24"/>
          <w:szCs w:val="24"/>
        </w:rPr>
        <w:t xml:space="preserve">« accès au moindre privilège »</w:t>
      </w:r>
      <w:r>
        <w:rPr>
          <w:rFonts w:ascii="Georgia" w:cs="Georgia" w:eastAsia="Georgia" w:hAnsi="Georgia"/>
          <w:b w:val="false"/>
          <w:bCs w:val="false"/>
          <w:i w:val="false"/>
          <w:iCs w:val="false"/>
          <w:sz w:val="24"/>
          <w:szCs w:val="24"/>
        </w:rPr>
        <w:t xml:space="preserve">. Chaque entité — utilisateur, service, agent — ne reçoit que les permissions minimales nécessaires à sa fonction. Les accès privilégiés sont temporaires et audités. Les secrets (mots de passe, clés API, certificats) sont gérés dans des coffres-forts comme HashiCorp Vault et rotés régulièrement.</w:t>
      </w:r>
    </w:p>
    <w:p>
      <w:pPr>
        <w:spacing w:after="200" w:line="276"/>
        <w:jc w:val="both"/>
      </w:pPr>
      <w:r>
        <w:rPr>
          <w:rFonts w:ascii="Georgia" w:cs="Georgia" w:eastAsia="Georgia" w:hAnsi="Georgia"/>
          <w:b w:val="false"/>
          <w:bCs w:val="false"/>
          <w:i w:val="false"/>
          <w:iCs w:val="false"/>
          <w:sz w:val="24"/>
          <w:szCs w:val="24"/>
        </w:rPr>
        <w:t xml:space="preserve">Le troisième principe est </w:t>
      </w:r>
      <w:r>
        <w:rPr>
          <w:rFonts w:ascii="Georgia" w:cs="Georgia" w:eastAsia="Georgia" w:hAnsi="Georgia"/>
          <w:b/>
          <w:bCs/>
          <w:i/>
          <w:iCs/>
          <w:sz w:val="24"/>
          <w:szCs w:val="24"/>
        </w:rPr>
        <w:t xml:space="preserve">« supposer la compromission »</w:t>
      </w:r>
      <w:r>
        <w:rPr>
          <w:rFonts w:ascii="Georgia" w:cs="Georgia" w:eastAsia="Georgia" w:hAnsi="Georgia"/>
          <w:b w:val="false"/>
          <w:bCs w:val="false"/>
          <w:i w:val="false"/>
          <w:iCs w:val="false"/>
          <w:sz w:val="24"/>
          <w:szCs w:val="24"/>
        </w:rPr>
        <w:t xml:space="preserve">. L'architecture est conçue en supposant qu'un attaquant est déjà présent dans le système. Le chiffrement protège les données en transit (TLS) et au repos. La segmentation limite le rayon d'impact d'une compromission. La détection continue surveille les comportements anormaux. Les plans de réponse aux incidents permettent une réaction rapide.</w:t>
      </w:r>
    </w:p>
    <w:p>
      <w:pPr>
        <w:spacing w:after="200" w:line="276"/>
        <w:jc w:val="both"/>
      </w:pPr>
      <w:r>
        <w:rPr>
          <w:rFonts w:ascii="Georgia" w:cs="Georgia" w:eastAsia="Georgia" w:hAnsi="Georgia"/>
          <w:sz w:val="24"/>
          <w:szCs w:val="24"/>
        </w:rPr>
        <w:t xml:space="preserve">Pour les architectures événementielles, le Zéro Confiance s'applique à chaque niveau. Les producteurs s'authentifient auprès du broker Kafka avec des certificats ou SASL. Les ACL (Access Control Lists) définissent finement qui peut produire ou consommer quels topics. Le chiffrement en transit (TLS) et au repos protège les événements. L'audit trace toutes les opérations pour la conformité et l'investigation forensique.</w:t>
      </w:r>
    </w:p>
    <w:p>
      <w:pPr>
        <w:pStyle w:val="Heading2"/>
      </w:pPr>
      <w:r>
        <w:rPr>
          <w:rFonts w:ascii="Arial" w:cs="Arial" w:eastAsia="Arial" w:hAnsi="Arial"/>
          <w:b/>
          <w:bCs/>
        </w:rPr>
        <w:t xml:space="preserve">I.8.6 Conclusion : Industrialiser le Système Nerveux Numérique</w:t>
      </w:r>
    </w:p>
    <w:p>
      <w:pPr>
        <w:spacing w:after="200" w:line="276"/>
        <w:jc w:val="both"/>
      </w:pPr>
      <w:r>
        <w:rPr>
          <w:rFonts w:ascii="Georgia" w:cs="Georgia" w:eastAsia="Georgia" w:hAnsi="Georgia"/>
          <w:sz w:val="24"/>
          <w:szCs w:val="24"/>
        </w:rPr>
        <w:t xml:space="preserve">L'infrastructure ne se limite pas à la technique ; elle conditionne la capacité de l'organisation à innover et à opérer de manière fiable. Une plateforme d'intégration bien conçue — structurée en couches, construite sur des technologies cloud-native, automatisée de bout en bout, observable et sécurisée — devient un accélérateur plutôt qu'un frein.</w:t>
      </w:r>
    </w:p>
    <w:p>
      <w:pPr>
        <w:spacing w:after="200" w:line="276"/>
        <w:jc w:val="both"/>
      </w:pPr>
      <w:r>
        <w:rPr>
          <w:rFonts w:ascii="Georgia" w:cs="Georgia" w:eastAsia="Georgia" w:hAnsi="Georgia"/>
          <w:sz w:val="24"/>
          <w:szCs w:val="24"/>
        </w:rPr>
        <w:t xml:space="preserve">L'industrialisation de cette infrastructure exige des investissements significatifs : compétences, outils, processus. Ces investissements se justifient par les gains de productivité, de fiabilité et d'agilité qu'ils permettent. Les organisations qui maîtrisent ces pratiques déploient plus fréquemment, avec moins de défauts, et résolvent les incidents plus rapidement. Le rapport DORA (DevOps Research and Assessment) documente ces corrélations année après année.</w:t>
      </w:r>
    </w:p>
    <w:p>
      <w:pPr>
        <w:spacing w:after="200" w:line="276"/>
        <w:jc w:val="both"/>
      </w:pPr>
      <w:r>
        <w:rPr>
          <w:rFonts w:ascii="Georgia" w:cs="Georgia" w:eastAsia="Georgia" w:hAnsi="Georgia"/>
          <w:sz w:val="24"/>
          <w:szCs w:val="24"/>
        </w:rPr>
        <w:t xml:space="preserve">Pour l'entreprise agentique, cette infrastructure constitue le terrain sur lequel les agents cognitifs opéreront. Un agent qui interagit avec des API sécurisées, qui consomme des événements observables, qui opère dans un environnement Zéro Confiance peut être déployé et supervisé de manière fiable. L'infrastructure n'est pas un prérequis technique mais une condition de possibilité de l'autonomie agentique.</w:t>
      </w:r>
    </w:p>
    <w:p>
      <w:pPr>
        <w:pStyle w:val="Heading2"/>
      </w:pPr>
      <w:r>
        <w:rPr>
          <w:rFonts w:ascii="Arial" w:cs="Arial" w:eastAsia="Arial" w:hAnsi="Arial"/>
          <w:b/>
          <w:bCs/>
        </w:rPr>
        <w:t xml:space="preserve">I.8.7 Résumé</w:t>
      </w:r>
    </w:p>
    <w:p>
      <w:pPr>
        <w:spacing w:after="200" w:line="276"/>
        <w:jc w:val="both"/>
      </w:pPr>
      <w:r>
        <w:rPr>
          <w:rFonts w:ascii="Georgia" w:cs="Georgia" w:eastAsia="Georgia" w:hAnsi="Georgia"/>
          <w:sz w:val="24"/>
          <w:szCs w:val="24"/>
        </w:rPr>
        <w:t xml:space="preserve">L'architecture de référence d'une plateforme d'intégration moderne s'organise en couches : exposition (API Gateway, connecteurs), médiation (brokers, processeurs de flux), persistance (Lakehouse, caches) et services transversaux (identité, observabilité, sécurité). Cette structure permet une évolution progressive et une séparation des préoccupations.</w:t>
      </w:r>
    </w:p>
    <w:p>
      <w:pPr>
        <w:spacing w:after="200" w:line="276"/>
        <w:jc w:val="both"/>
      </w:pPr>
      <w:r>
        <w:rPr>
          <w:rFonts w:ascii="Georgia" w:cs="Georgia" w:eastAsia="Georgia" w:hAnsi="Georgia"/>
          <w:sz w:val="24"/>
          <w:szCs w:val="24"/>
        </w:rPr>
        <w:t xml:space="preserve">Les technologies cloud-native — conteneurs, Kubernetes, service mesh, services managés — fournissent les briques fondamentales. L'automatisation via CI/CD et Infrastructure as Code garantit la reproductibilité et l'agilité. GitOps utilise Git comme source de vérité pour l'état désiré du système.</w:t>
      </w:r>
    </w:p>
    <w:p>
      <w:pPr>
        <w:spacing w:after="200" w:line="276"/>
        <w:jc w:val="both"/>
      </w:pPr>
      <w:r>
        <w:rPr>
          <w:rFonts w:ascii="Georgia" w:cs="Georgia" w:eastAsia="Georgia" w:hAnsi="Georgia"/>
          <w:sz w:val="24"/>
          <w:szCs w:val="24"/>
        </w:rPr>
        <w:t xml:space="preserve">L'observabilité, fondée sur les trois piliers logs-métriques-traces et unifiée par OpenTelemetry, permet de comprendre les systèmes distribués. Le paradigme Zéro Confiance redéfinit la sécurité autour de trois principes : vérifier explicitement, accès au moindre privilège, supposer la compromission. Ces pratiques préparent l'infrastructure pour les agents cognitifs.</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Études de Cas Architecturales : Leçons des Géants du Numérique</w:t>
      </w:r>
      <w:r>
        <w:rPr>
          <w:rFonts w:ascii="Georgia" w:cs="Georgia" w:eastAsia="Georgia" w:hAnsi="Georgia"/>
          <w:b w:val="false"/>
          <w:bCs w:val="false"/>
          <w:i/>
          <w:iCs/>
          <w:sz w:val="24"/>
          <w:szCs w:val="24"/>
        </w:rPr>
        <w:t xml:space="preserve">, illustre ces principes en action. Netflix, Uber et Amazon ont construit des architectures événementielles à une échelle sans précédent. Leurs choix techniques, leurs échecs et leurs succès offrent des leçons précieuses pour toute organisation engagée dans la transformation vers l'architecture réactive.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2 : Architecture Réactive et Écosystème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2026-01-11T02:17:43.418Z</dcterms:created>
  <dcterms:modified xsi:type="dcterms:W3CDTF">2026-01-11T02:17:43.419Z</dcterms:modified>
</cp:coreProperties>
</file>

<file path=docProps/custom.xml><?xml version="1.0" encoding="utf-8"?>
<Properties xmlns="http://schemas.openxmlformats.org/officeDocument/2006/custom-properties" xmlns:vt="http://schemas.openxmlformats.org/officeDocument/2006/docPropsVTypes"/>
</file>