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444444"/>
          <w:sz w:val="32"/>
          <w:szCs w:val="32"/>
        </w:rPr>
        <w:t xml:space="preserve">PARTIE 4</w:t>
      </w:r>
    </w:p>
    <w:p>
      <w:pPr>
        <w:spacing w:after="600"/>
        <w:jc w:val="center"/>
      </w:pPr>
      <w:r>
        <w:rPr>
          <w:rFonts w:ascii="Arial" w:cs="Arial" w:eastAsia="Arial" w:hAnsi="Arial"/>
          <w:b/>
          <w:bCs/>
          <w:color w:val="666666"/>
          <w:sz w:val="28"/>
          <w:szCs w:val="28"/>
        </w:rPr>
        <w:t xml:space="preserve">L'Ère Agentique et Gouvernance</w:t>
      </w:r>
    </w:p>
    <w:p>
      <w:pPr>
        <w:spacing w:after="80"/>
        <w:jc w:val="center"/>
      </w:pPr>
      <w:r>
        <w:rPr>
          <w:rFonts w:ascii="Arial" w:cs="Arial" w:eastAsia="Arial" w:hAnsi="Arial"/>
          <w:b/>
          <w:bCs/>
          <w:color w:val="666666"/>
          <w:sz w:val="28"/>
          <w:szCs w:val="28"/>
        </w:rPr>
        <w:t xml:space="preserve">CHAPITRE I.13</w:t>
      </w:r>
    </w:p>
    <w:p>
      <w:pPr>
        <w:pStyle w:val="Heading1"/>
        <w:spacing w:after="400"/>
        <w:jc w:val="center"/>
      </w:pPr>
      <w:r>
        <w:rPr>
          <w:rFonts w:ascii="Arial" w:cs="Arial" w:eastAsia="Arial" w:hAnsi="Arial"/>
          <w:b/>
          <w:bCs/>
          <w:sz w:val="36"/>
          <w:szCs w:val="36"/>
        </w:rPr>
        <w:t xml:space="preserve">Ère de l'IA Agentique : Du Modèle au Travailleur Numérique</w:t>
      </w:r>
    </w:p>
    <w:p>
      <w:pPr>
        <w:spacing w:before="200" w:after="400"/>
        <w:ind w:left="2880"/>
        <w:jc w:val="right"/>
      </w:pPr>
      <w:r>
        <w:rPr>
          <w:rFonts w:ascii="Georgia" w:cs="Georgia" w:eastAsia="Georgia" w:hAnsi="Georgia"/>
          <w:i/>
          <w:iCs/>
          <w:sz w:val="22"/>
          <w:szCs w:val="22"/>
        </w:rPr>
        <w:t xml:space="preserve">« Un agent est tout ce qui peut percevoir son environnement par des capteurs et agir sur cet environnement par des effecteurs. »
— Stuart Russell &amp; Peter Norvig, Artificial Intelligence: A Modern Approach</w:t>
      </w:r>
    </w:p>
    <w:p>
      <w:pPr>
        <w:spacing w:after="200" w:line="276"/>
        <w:jc w:val="both"/>
      </w:pPr>
      <w:r>
        <w:rPr>
          <w:rFonts w:ascii="Georgia" w:cs="Georgia" w:eastAsia="Georgia" w:hAnsi="Georgia"/>
          <w:sz w:val="24"/>
          <w:szCs w:val="24"/>
        </w:rPr>
        <w:t xml:space="preserve">Les trois premières parties de cet ouvrage ont construit les fondations nécessaires : la crise de l'intégration traditionnelle, l'architecture réactive et événementielle, l'interopérabilité cognitivo-adaptative. Ces fondations préparent un changement plus profond que nous abordons maintenant : l'émergence de l'IA agentique comme nouvelle force de travail numérique. Cette quatrième partie, cœur de l'ouvrage, explore comment les agents cognitifs transforment fondamentalement l'entreprise.</w:t>
      </w:r>
    </w:p>
    <w:p>
      <w:pPr>
        <w:spacing w:after="200" w:line="276"/>
        <w:jc w:val="both"/>
      </w:pPr>
      <w:r>
        <w:rPr>
          <w:rFonts w:ascii="Georgia" w:cs="Georgia" w:eastAsia="Georgia" w:hAnsi="Georgia"/>
          <w:sz w:val="24"/>
          <w:szCs w:val="24"/>
        </w:rPr>
        <w:t xml:space="preserve">Ce chapitre inaugural définit ce que sont les agents cognitifs et pourquoi ils représentent un saut qualitatif par rapport à l'IA générative. Nous tracerons d'abord l'évolution depuis les modèles de langage passifs vers les agents autonomes capables d'action. Nous proposerons ensuite une taxonomie des niveaux d'autonomie agentique. Nous décrirons l'anatomie fonctionnelle d'un agent cognitif. Enfin, nous présenterons les architectures cognitives modernes qui permettent de construire ces agents.</w:t>
      </w:r>
    </w:p>
    <w:p>
      <w:pPr>
        <w:pStyle w:val="Heading2"/>
      </w:pPr>
      <w:r>
        <w:rPr>
          <w:rFonts w:ascii="Arial" w:cs="Arial" w:eastAsia="Arial" w:hAnsi="Arial"/>
          <w:b/>
          <w:bCs/>
        </w:rPr>
        <w:t xml:space="preserve">I.13.1 De l'IA Générative (Outil) aux Agents Autonomes (Acteur)</w:t>
      </w:r>
    </w:p>
    <w:p>
      <w:pPr>
        <w:spacing w:after="200" w:line="276"/>
        <w:jc w:val="both"/>
      </w:pPr>
      <w:r>
        <w:rPr>
          <w:rFonts w:ascii="Georgia" w:cs="Georgia" w:eastAsia="Georgia" w:hAnsi="Georgia"/>
          <w:sz w:val="24"/>
          <w:szCs w:val="24"/>
        </w:rPr>
        <w:t xml:space="preserve">L'année 2023 a marqué l'entrée de l'IA générative dans la conscience collective avec ChatGPT. Les grands modèles de langage (LLM) ont démontré des capacités stupéfiantes de génération de texte, de code, d'analyse. Mais ces modèles, aussi impressionnants soient-ils, restent des outils passifs : ils répondent aux requêtes humaines, un tour à la fois, sans capacité d'action autonome sur le monde.</w:t>
      </w:r>
    </w:p>
    <w:p>
      <w:pPr>
        <w:spacing w:after="200" w:line="276"/>
        <w:jc w:val="both"/>
      </w:pPr>
      <w:r>
        <w:rPr>
          <w:rFonts w:ascii="Georgia" w:cs="Georgia" w:eastAsia="Georgia" w:hAnsi="Georgia"/>
          <w:sz w:val="24"/>
          <w:szCs w:val="24"/>
        </w:rPr>
        <w:t xml:space="preserve">L'IA agentique franchit une frontière qualitative. Un agent n'est pas seulement un modèle qui génère des réponses ; c'est une entité qui poursuit des objectifs, planifie des actions, interagit avec des outils et des systèmes, apprend de ses expériences, et opère avec une autonomie variable. La différence n'est pas de degré mais de nature : l'agent passe du statut d'outil à celui d'acteur.</w:t>
      </w:r>
    </w:p>
    <w:p>
      <w:pPr>
        <w:spacing w:after="200" w:line="276"/>
        <w:jc w:val="both"/>
      </w:pPr>
      <w:r>
        <w:rPr>
          <w:rFonts w:ascii="Georgia" w:cs="Georgia" w:eastAsia="Georgia" w:hAnsi="Georgia"/>
          <w:b w:val="false"/>
          <w:bCs w:val="false"/>
          <w:i w:val="false"/>
          <w:iCs w:val="false"/>
          <w:sz w:val="24"/>
          <w:szCs w:val="24"/>
        </w:rPr>
        <w:t xml:space="preserve">Cette transition repose sur trois capacités clés. La </w:t>
      </w:r>
      <w:r>
        <w:rPr>
          <w:rFonts w:ascii="Georgia" w:cs="Georgia" w:eastAsia="Georgia" w:hAnsi="Georgia"/>
          <w:b/>
          <w:bCs/>
          <w:i/>
          <w:iCs/>
          <w:sz w:val="24"/>
          <w:szCs w:val="24"/>
        </w:rPr>
        <w:t xml:space="preserve">persistance</w:t>
      </w:r>
      <w:r>
        <w:rPr>
          <w:rFonts w:ascii="Georgia" w:cs="Georgia" w:eastAsia="Georgia" w:hAnsi="Georgia"/>
          <w:b w:val="false"/>
          <w:bCs w:val="false"/>
          <w:i w:val="false"/>
          <w:iCs w:val="false"/>
          <w:sz w:val="24"/>
          <w:szCs w:val="24"/>
        </w:rPr>
        <w:t xml:space="preserve"> : contrairement à un modèle sans mémoire qui traite chaque requête isolément, l'agent maintient un état à travers le temps — objectifs, contexte, historique. La </w:t>
      </w:r>
      <w:r>
        <w:rPr>
          <w:rFonts w:ascii="Georgia" w:cs="Georgia" w:eastAsia="Georgia" w:hAnsi="Georgia"/>
          <w:b/>
          <w:bCs/>
          <w:i/>
          <w:iCs/>
          <w:sz w:val="24"/>
          <w:szCs w:val="24"/>
        </w:rPr>
        <w:t xml:space="preserve">capacité d'action</w:t>
      </w:r>
      <w:r>
        <w:rPr>
          <w:rFonts w:ascii="Georgia" w:cs="Georgia" w:eastAsia="Georgia" w:hAnsi="Georgia"/>
          <w:b w:val="false"/>
          <w:bCs w:val="false"/>
          <w:i w:val="false"/>
          <w:iCs w:val="false"/>
          <w:sz w:val="24"/>
          <w:szCs w:val="24"/>
        </w:rPr>
        <w:t xml:space="preserve"> : l'agent peut invoquer des outils, appeler des API, exécuter du code, modifier des données. Le </w:t>
      </w:r>
      <w:r>
        <w:rPr>
          <w:rFonts w:ascii="Georgia" w:cs="Georgia" w:eastAsia="Georgia" w:hAnsi="Georgia"/>
          <w:b/>
          <w:bCs/>
          <w:i/>
          <w:iCs/>
          <w:sz w:val="24"/>
          <w:szCs w:val="24"/>
        </w:rPr>
        <w:t xml:space="preserve">raisonnement orienté objectif</w:t>
      </w:r>
      <w:r>
        <w:rPr>
          <w:rFonts w:ascii="Georgia" w:cs="Georgia" w:eastAsia="Georgia" w:hAnsi="Georgia"/>
          <w:b w:val="false"/>
          <w:bCs w:val="false"/>
          <w:i w:val="false"/>
          <w:iCs w:val="false"/>
          <w:sz w:val="24"/>
          <w:szCs w:val="24"/>
        </w:rPr>
        <w:t xml:space="preserve"> : l'agent décompose des objectifs complexes en sous-tâches, planifie des séquences d'actions, ajuste ses plans face aux obstacles.</w:t>
      </w:r>
    </w:p>
    <w:p>
      <w:pPr>
        <w:spacing w:after="200" w:line="276"/>
        <w:jc w:val="both"/>
      </w:pPr>
      <w:r>
        <w:rPr>
          <w:rFonts w:ascii="Georgia" w:cs="Georgia" w:eastAsia="Georgia" w:hAnsi="Georgia"/>
          <w:sz w:val="24"/>
          <w:szCs w:val="24"/>
        </w:rPr>
        <w:t xml:space="preserve">Considérons un exemple concret. Un LLM classique peut répondre à la question « Comment analyser les ventes du trimestre ? » en expliquant les étapes. Un agent cognitif, face au même objectif « Analyse les ventes du trimestre », va effectivement se connecter au système de ventes, extraire les données, effectuer les calculs, identifier les tendances, générer un rapport, et potentiellement l'envoyer aux parties prenantes — le tout sans intervention humaine à chaque étape.</w:t>
      </w:r>
    </w:p>
    <w:p>
      <w:pPr>
        <w:spacing w:after="200" w:line="276"/>
        <w:jc w:val="both"/>
      </w:pPr>
      <w:r>
        <w:rPr>
          <w:rFonts w:ascii="Georgia" w:cs="Georgia" w:eastAsia="Georgia" w:hAnsi="Georgia"/>
          <w:sz w:val="24"/>
          <w:szCs w:val="24"/>
        </w:rPr>
        <w:t xml:space="preserve">Cette évolution rappelle le passage de la calculatrice à l'ordinateur programmable. La calculatrice exécute des opérations ponctuelles à la demande de l'utilisateur. L'ordinateur programmable exécute des séquences d'instructions autonomement, interagit avec des périphériques, maintient un état. De même, l'agent cognitif transforme l'IA d'un répondeur ponctuel en un exécutant capable de mener des processus complets.</w:t>
      </w:r>
    </w:p>
    <w:p>
      <w:pPr>
        <w:pStyle w:val="Heading2"/>
      </w:pPr>
      <w:r>
        <w:rPr>
          <w:rFonts w:ascii="Arial" w:cs="Arial" w:eastAsia="Arial" w:hAnsi="Arial"/>
          <w:b/>
          <w:bCs/>
        </w:rPr>
        <w:t xml:space="preserve">I.13.2 Taxonomie de l'Intelligence Agentique : Les Niveaux d'Autonomie</w:t>
      </w:r>
    </w:p>
    <w:p>
      <w:pPr>
        <w:spacing w:after="200" w:line="276"/>
        <w:jc w:val="both"/>
      </w:pPr>
      <w:r>
        <w:rPr>
          <w:rFonts w:ascii="Georgia" w:cs="Georgia" w:eastAsia="Georgia" w:hAnsi="Georgia"/>
          <w:sz w:val="24"/>
          <w:szCs w:val="24"/>
        </w:rPr>
        <w:t xml:space="preserve">Tous les agents ne sont pas égaux en autonomie. Une taxonomie des niveaux d'autonomie aide à comprendre le spectre des possibilités et à choisir le niveau approprié pour chaque cas d'usage. Cette taxonomie s'inspire des niveaux d'autonomie des véhicules autonomes, adaptés au contexte de l'entreprise.</w:t>
      </w:r>
    </w:p>
    <w:p>
      <w:pPr>
        <w:spacing w:before="200" w:after="200"/>
      </w:pPr>
      <w:r>
        <w:rPr>
          <w:rFonts w:ascii="Arial" w:cs="Arial" w:eastAsia="Arial" w:hAnsi="Arial"/>
          <w:b/>
          <w:bCs/>
          <w:i/>
          <w:iCs/>
          <w:sz w:val="22"/>
          <w:szCs w:val="22"/>
        </w:rPr>
        <w:t xml:space="preserve">Tableau I.13.1 — Niveaux d'Autonomie Agentique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180"/>
        <w:gridCol w:w="3180"/>
      </w:tblGrid>
      <w:tr>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9"/>
                <w:szCs w:val="19"/>
              </w:rPr>
              <w:t xml:space="preserve">Niveau</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9"/>
                <w:szCs w:val="19"/>
              </w:rPr>
              <w:t xml:space="preserve">Désignation</w:t>
            </w:r>
          </w:p>
        </w:tc>
        <w:tc>
          <w:tcPr>
            <w:tcW w:type="dxa" w:w="31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9"/>
                <w:szCs w:val="19"/>
              </w:rPr>
              <w:t xml:space="preserve">Description</w:t>
            </w:r>
          </w:p>
        </w:tc>
        <w:tc>
          <w:tcPr>
            <w:tcW w:type="dxa" w:w="31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9"/>
                <w:szCs w:val="19"/>
              </w:rPr>
              <w:t xml:space="preserve">Exemple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L0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Aucune autonomie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Modèle réactif pur, répond aux requêtes sans action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Chatbot FAQ</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L1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Assistance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Suggère des actions, l'humain décide et exécute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Copilote de code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L2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Automatisation partielle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Exécute des tâches simples, humain supervise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Agent de tri d'emails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L3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Automatisation conditionnelle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Gère des workflows complets, escalade si incertain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Agent de support client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L4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Haute autonomie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Opère indépendamment dans un domaine défini</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Agent de trading algorithmique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L5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Autonomie complète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Gère tout type de situation sans supervision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(Théorique / AGI)</w:t>
            </w:r>
          </w:p>
        </w:tc>
      </w:tr>
    </w:tbl>
    <w:p>
      <w:pPr>
        <w:spacing w:before="300"/>
      </w:pPr>
    </w:p>
    <w:p>
      <w:pPr>
        <w:spacing w:after="200" w:line="276"/>
        <w:jc w:val="both"/>
      </w:pPr>
      <w:r>
        <w:rPr>
          <w:rFonts w:ascii="Georgia" w:cs="Georgia" w:eastAsia="Georgia" w:hAnsi="Georgia"/>
          <w:sz w:val="24"/>
          <w:szCs w:val="24"/>
        </w:rPr>
        <w:t xml:space="preserve">Les niveaux L0 à L2 représentent l'état actuel de la plupart des déploiements d'IA en entreprise. Les assistants conversationnels, les copilotes de développement, les outils d'automatisation simple opèrent à ces niveaux. L'humain reste dans la boucle pour les décisions significatives et la supervision.</w:t>
      </w:r>
    </w:p>
    <w:p>
      <w:pPr>
        <w:spacing w:after="200" w:line="276"/>
        <w:jc w:val="both"/>
      </w:pPr>
      <w:r>
        <w:rPr>
          <w:rFonts w:ascii="Georgia" w:cs="Georgia" w:eastAsia="Georgia" w:hAnsi="Georgia"/>
          <w:sz w:val="24"/>
          <w:szCs w:val="24"/>
        </w:rPr>
        <w:t xml:space="preserve">Le niveau L3 marque le seuil de l'autonomie véritable. L'agent peut mener des processus de bout en bout — traiter une demande client, résoudre un incident technique, exécuter une commande — avec une intervention humaine limitée aux cas d'exception. Ce niveau exige une confiance dans les capacités de l'agent et des garde-fous robustes.</w:t>
      </w:r>
    </w:p>
    <w:p>
      <w:pPr>
        <w:spacing w:after="200" w:line="276"/>
        <w:jc w:val="both"/>
      </w:pPr>
      <w:r>
        <w:rPr>
          <w:rFonts w:ascii="Georgia" w:cs="Georgia" w:eastAsia="Georgia" w:hAnsi="Georgia"/>
          <w:sz w:val="24"/>
          <w:szCs w:val="24"/>
        </w:rPr>
        <w:t xml:space="preserve">Les niveaux L4 et L5 représentent des horizons plus lointains. L4 existe dans des domaines circonscrits comme le trading haute fréquence où la vitesse exclut l'intervention humaine. L5, l'autonomie générale comparable à un employé humain polyvalent, reste théorique et pose des questions profondes d'alignement et de contrôle que nous aborderons au chapitre I.17.</w:t>
      </w:r>
    </w:p>
    <w:p>
      <w:pPr>
        <w:pStyle w:val="Heading2"/>
      </w:pPr>
      <w:r>
        <w:rPr>
          <w:rFonts w:ascii="Arial" w:cs="Arial" w:eastAsia="Arial" w:hAnsi="Arial"/>
          <w:b/>
          <w:bCs/>
        </w:rPr>
        <w:t xml:space="preserve">I.13.3 Anatomie d'un Agent Cognitif</w:t>
      </w:r>
    </w:p>
    <w:p>
      <w:pPr>
        <w:spacing w:after="200" w:line="276"/>
        <w:jc w:val="both"/>
      </w:pPr>
      <w:r>
        <w:rPr>
          <w:rFonts w:ascii="Georgia" w:cs="Georgia" w:eastAsia="Georgia" w:hAnsi="Georgia"/>
          <w:sz w:val="24"/>
          <w:szCs w:val="24"/>
        </w:rPr>
        <w:t xml:space="preserve">Un agent cognitif se compose de modules fonctionnels interconnectés qui lui permettent de percevoir, raisonner, décider et agir. Cette anatomie, bien que simplifiée, capture les éléments essentiels présents dans la plupart des architectures agentiques modernes.</w:t>
      </w:r>
    </w:p>
    <w:p>
      <w:pPr>
        <w:spacing w:after="200" w:line="276"/>
        <w:jc w:val="both"/>
      </w:pPr>
      <w:r>
        <w:rPr>
          <w:rFonts w:ascii="Georgia" w:cs="Georgia" w:eastAsia="Georgia" w:hAnsi="Georgia"/>
          <w:b w:val="false"/>
          <w:bCs w:val="false"/>
          <w:i w:val="false"/>
          <w:iCs w:val="false"/>
          <w:sz w:val="24"/>
          <w:szCs w:val="24"/>
        </w:rPr>
        <w:t xml:space="preserve">Le </w:t>
      </w:r>
      <w:r>
        <w:rPr>
          <w:rFonts w:ascii="Georgia" w:cs="Georgia" w:eastAsia="Georgia" w:hAnsi="Georgia"/>
          <w:b/>
          <w:bCs/>
          <w:i/>
          <w:iCs/>
          <w:sz w:val="24"/>
          <w:szCs w:val="24"/>
        </w:rPr>
        <w:t xml:space="preserve">module de perception</w:t>
      </w:r>
      <w:r>
        <w:rPr>
          <w:rFonts w:ascii="Georgia" w:cs="Georgia" w:eastAsia="Georgia" w:hAnsi="Georgia"/>
          <w:b w:val="false"/>
          <w:bCs w:val="false"/>
          <w:i w:val="false"/>
          <w:iCs w:val="false"/>
          <w:sz w:val="24"/>
          <w:szCs w:val="24"/>
        </w:rPr>
        <w:t xml:space="preserve"> constitue l'interface d'entrée de l'agent avec son environnement. Il ingère les informations depuis diverses sources : messages utilisateurs, événements systèmes, données de capteurs, résultats d'outils. Il transforme ces entrées brutes en représentations que le module cognitif peut traiter. Pour un agent textuel, cela inclut le parsing du langage naturel et l'extraction d'intentions.</w:t>
      </w:r>
    </w:p>
    <w:p>
      <w:pPr>
        <w:spacing w:after="200" w:line="276"/>
        <w:jc w:val="both"/>
      </w:pPr>
      <w:r>
        <w:rPr>
          <w:rFonts w:ascii="Georgia" w:cs="Georgia" w:eastAsia="Georgia" w:hAnsi="Georgia"/>
          <w:b w:val="false"/>
          <w:bCs w:val="false"/>
          <w:i w:val="false"/>
          <w:iCs w:val="false"/>
          <w:sz w:val="24"/>
          <w:szCs w:val="24"/>
        </w:rPr>
        <w:t xml:space="preserve">Le </w:t>
      </w:r>
      <w:r>
        <w:rPr>
          <w:rFonts w:ascii="Georgia" w:cs="Georgia" w:eastAsia="Georgia" w:hAnsi="Georgia"/>
          <w:b/>
          <w:bCs/>
          <w:i/>
          <w:iCs/>
          <w:sz w:val="24"/>
          <w:szCs w:val="24"/>
        </w:rPr>
        <w:t xml:space="preserve">module de mémoire</w:t>
      </w:r>
      <w:r>
        <w:rPr>
          <w:rFonts w:ascii="Georgia" w:cs="Georgia" w:eastAsia="Georgia" w:hAnsi="Georgia"/>
          <w:b w:val="false"/>
          <w:bCs w:val="false"/>
          <w:i w:val="false"/>
          <w:iCs w:val="false"/>
          <w:sz w:val="24"/>
          <w:szCs w:val="24"/>
        </w:rPr>
        <w:t xml:space="preserve"> maintient l'état de l'agent à travers le temps. La mémoire de travail contient le contexte de la tâche en cours — objectif, étapes accomplies, informations pertinentes. La mémoire à long terme stocke les connaissances acquises, les expériences passées, les préférences apprises. Les techniques de RAG (Retrieval-Augmented Generation) permettent de connecter l'agent à des bases de connaissances externes.</w:t>
      </w:r>
    </w:p>
    <w:p>
      <w:pPr>
        <w:spacing w:after="200" w:line="276"/>
        <w:jc w:val="both"/>
      </w:pPr>
      <w:r>
        <w:rPr>
          <w:rFonts w:ascii="Georgia" w:cs="Georgia" w:eastAsia="Georgia" w:hAnsi="Georgia"/>
          <w:b w:val="false"/>
          <w:bCs w:val="false"/>
          <w:i w:val="false"/>
          <w:iCs w:val="false"/>
          <w:sz w:val="24"/>
          <w:szCs w:val="24"/>
        </w:rPr>
        <w:t xml:space="preserve">Le </w:t>
      </w:r>
      <w:r>
        <w:rPr>
          <w:rFonts w:ascii="Georgia" w:cs="Georgia" w:eastAsia="Georgia" w:hAnsi="Georgia"/>
          <w:b/>
          <w:bCs/>
          <w:i/>
          <w:iCs/>
          <w:sz w:val="24"/>
          <w:szCs w:val="24"/>
        </w:rPr>
        <w:t xml:space="preserve">module de raisonnement</w:t>
      </w:r>
      <w:r>
        <w:rPr>
          <w:rFonts w:ascii="Georgia" w:cs="Georgia" w:eastAsia="Georgia" w:hAnsi="Georgia"/>
          <w:b w:val="false"/>
          <w:bCs w:val="false"/>
          <w:i w:val="false"/>
          <w:iCs w:val="false"/>
          <w:sz w:val="24"/>
          <w:szCs w:val="24"/>
        </w:rPr>
        <w:t xml:space="preserve"> constitue le cœur cognitif de l'agent. Il analyse la situation, génère des plans, évalue des alternatives, prend des décisions. Les LLM modernes fournissent ce module avec des capacités de raisonnement en chaîne (Chain-of-Thought), de décomposition de problèmes, et de réflexion sur leurs propres raisonnements. Ce module peut être augmenté par des moteurs de règles ou des systèmes de planification classiques.</w:t>
      </w:r>
    </w:p>
    <w:p>
      <w:pPr>
        <w:spacing w:after="200" w:line="276"/>
        <w:jc w:val="both"/>
      </w:pPr>
      <w:r>
        <w:rPr>
          <w:rFonts w:ascii="Georgia" w:cs="Georgia" w:eastAsia="Georgia" w:hAnsi="Georgia"/>
          <w:b w:val="false"/>
          <w:bCs w:val="false"/>
          <w:i w:val="false"/>
          <w:iCs w:val="false"/>
          <w:sz w:val="24"/>
          <w:szCs w:val="24"/>
        </w:rPr>
        <w:t xml:space="preserve">Le </w:t>
      </w:r>
      <w:r>
        <w:rPr>
          <w:rFonts w:ascii="Georgia" w:cs="Georgia" w:eastAsia="Georgia" w:hAnsi="Georgia"/>
          <w:b/>
          <w:bCs/>
          <w:i/>
          <w:iCs/>
          <w:sz w:val="24"/>
          <w:szCs w:val="24"/>
        </w:rPr>
        <w:t xml:space="preserve">module d'action</w:t>
      </w:r>
      <w:r>
        <w:rPr>
          <w:rFonts w:ascii="Georgia" w:cs="Georgia" w:eastAsia="Georgia" w:hAnsi="Georgia"/>
          <w:b w:val="false"/>
          <w:bCs w:val="false"/>
          <w:i w:val="false"/>
          <w:iCs w:val="false"/>
          <w:sz w:val="24"/>
          <w:szCs w:val="24"/>
        </w:rPr>
        <w:t xml:space="preserve"> traduit les décisions en interventions sur l'environnement. Il dispose d'un ensemble d'outils (tools) qu'il peut invoquer : appels API, requêtes de bases de données, exécution de code, envoi de messages. La définition précise des outils disponibles et de leurs paramètres constitue une part importante de l'ingénierie des agents.</w:t>
      </w:r>
    </w:p>
    <w:p>
      <w:pPr>
        <w:spacing w:after="200" w:line="276"/>
        <w:jc w:val="both"/>
      </w:pPr>
      <w:r>
        <w:rPr>
          <w:rFonts w:ascii="Georgia" w:cs="Georgia" w:eastAsia="Georgia" w:hAnsi="Georgia"/>
          <w:b w:val="false"/>
          <w:bCs w:val="false"/>
          <w:i w:val="false"/>
          <w:iCs w:val="false"/>
          <w:sz w:val="24"/>
          <w:szCs w:val="24"/>
        </w:rPr>
        <w:t xml:space="preserve">Le </w:t>
      </w:r>
      <w:r>
        <w:rPr>
          <w:rFonts w:ascii="Georgia" w:cs="Georgia" w:eastAsia="Georgia" w:hAnsi="Georgia"/>
          <w:b/>
          <w:bCs/>
          <w:i/>
          <w:iCs/>
          <w:sz w:val="24"/>
          <w:szCs w:val="24"/>
        </w:rPr>
        <w:t xml:space="preserve">module d'apprentissage</w:t>
      </w:r>
      <w:r>
        <w:rPr>
          <w:rFonts w:ascii="Georgia" w:cs="Georgia" w:eastAsia="Georgia" w:hAnsi="Georgia"/>
          <w:b w:val="false"/>
          <w:bCs w:val="false"/>
          <w:i w:val="false"/>
          <w:iCs w:val="false"/>
          <w:sz w:val="24"/>
          <w:szCs w:val="24"/>
        </w:rPr>
        <w:t xml:space="preserve"> permet à l'agent de s'améliorer avec l'expérience. Il peut ajuster ses comportements en fonction des feedbacks, mémoriser des solutions efficaces, affiner ses modèles du domaine. L'apprentissage peut être explicite (fine-tuning sur de nouvelles données) ou implicite (accumulation d'expériences en mémoire).</w:t>
      </w:r>
    </w:p>
    <w:p>
      <w:pPr>
        <w:spacing w:after="200" w:line="276"/>
        <w:jc w:val="both"/>
      </w:pPr>
      <w:r>
        <w:rPr>
          <w:rFonts w:ascii="Georgia" w:cs="Georgia" w:eastAsia="Georgia" w:hAnsi="Georgia"/>
          <w:sz w:val="24"/>
          <w:szCs w:val="24"/>
        </w:rPr>
        <w:t xml:space="preserve">Ces modules interagissent dans une boucle continue : percevoir, mémoriser, raisonner, agir, apprendre. Cette boucle, parfois appelée « observe-orient-decide-act » (OODA) en référence au modèle militaire, constitue le cycle de vie fondamental de tout agent cognitif.</w:t>
      </w:r>
    </w:p>
    <w:p>
      <w:pPr>
        <w:pStyle w:val="Heading2"/>
      </w:pPr>
      <w:r>
        <w:rPr>
          <w:rFonts w:ascii="Arial" w:cs="Arial" w:eastAsia="Arial" w:hAnsi="Arial"/>
          <w:b/>
          <w:bCs/>
        </w:rPr>
        <w:t xml:space="preserve">I.13.4 Architectures Cognitives Modernes (LLM-based)</w:t>
      </w:r>
    </w:p>
    <w:p>
      <w:pPr>
        <w:spacing w:after="200" w:line="276"/>
        <w:jc w:val="both"/>
      </w:pPr>
      <w:r>
        <w:rPr>
          <w:rFonts w:ascii="Georgia" w:cs="Georgia" w:eastAsia="Georgia" w:hAnsi="Georgia"/>
          <w:sz w:val="24"/>
          <w:szCs w:val="24"/>
        </w:rPr>
        <w:t xml:space="preserve">Les architectures cognitives modernes exploitent les LLM comme moteur de raisonnement central, augmenté par des mécanismes spécifiques pour la planification, la mémoire et l'action. Plusieurs patterns architecturaux ont émergé de la recherche et de la pratique.</w:t>
      </w:r>
    </w:p>
    <w:p>
      <w:pPr>
        <w:pStyle w:val="Heading3"/>
      </w:pPr>
      <w:r>
        <w:rPr>
          <w:rFonts w:ascii="Arial" w:cs="Arial" w:eastAsia="Arial" w:hAnsi="Arial"/>
          <w:b/>
          <w:bCs/>
        </w:rPr>
        <w:t xml:space="preserve">Le Pattern ReAct (Reasoning + Acting)</w:t>
      </w:r>
    </w:p>
    <w:p>
      <w:pPr>
        <w:spacing w:after="200" w:line="276"/>
        <w:jc w:val="both"/>
      </w:pPr>
      <w:r>
        <w:rPr>
          <w:rFonts w:ascii="Georgia" w:cs="Georgia" w:eastAsia="Georgia" w:hAnsi="Georgia"/>
          <w:sz w:val="24"/>
          <w:szCs w:val="24"/>
        </w:rPr>
        <w:t xml:space="preserve">ReAct, proposé par Yao et al. en 2022, entrelace le raisonnement et l'action. À chaque étape, l'agent génère une pensée (thought) qui analyse la situation, puis une action qui interagit avec l'environnement, puis une observation des résultats. Cette trace pensée-action-observation est ajoutée au contexte pour l'étape suivante. ReAct améliore significativement la performance sur les tâches nécessitant plusieurs étapes par rapport au prompting simple.</w:t>
      </w:r>
    </w:p>
    <w:p>
      <w:pPr>
        <w:pStyle w:val="Heading3"/>
      </w:pPr>
      <w:r>
        <w:rPr>
          <w:rFonts w:ascii="Arial" w:cs="Arial" w:eastAsia="Arial" w:hAnsi="Arial"/>
          <w:b/>
          <w:bCs/>
        </w:rPr>
        <w:t xml:space="preserve">Le Pattern Reflexion</w:t>
      </w:r>
    </w:p>
    <w:p>
      <w:pPr>
        <w:spacing w:after="200" w:line="276"/>
        <w:jc w:val="both"/>
      </w:pPr>
      <w:r>
        <w:rPr>
          <w:rFonts w:ascii="Georgia" w:cs="Georgia" w:eastAsia="Georgia" w:hAnsi="Georgia"/>
          <w:sz w:val="24"/>
          <w:szCs w:val="24"/>
        </w:rPr>
        <w:t xml:space="preserve">Reflexion ajoute une boucle d'auto-évaluation. Après avoir tenté une tâche, l'agent réfléchit sur sa performance : qu'est-ce qui a fonctionné ? Qu'est-ce qui a échoué ? Que ferait-il différemment ? Ces réflexions sont mémorisées et consultées lors de tâches similaires futures. Ce mécanisme de méta-cognition améliore l'apprentissage à partir d'erreurs sans nécessiter de réentraînement du modèle sous-jacent.</w:t>
      </w:r>
    </w:p>
    <w:p>
      <w:pPr>
        <w:pStyle w:val="Heading3"/>
      </w:pPr>
      <w:r>
        <w:rPr>
          <w:rFonts w:ascii="Arial" w:cs="Arial" w:eastAsia="Arial" w:hAnsi="Arial"/>
          <w:b/>
          <w:bCs/>
        </w:rPr>
        <w:t xml:space="preserve">Les Architectures Multi-Agents</w:t>
      </w:r>
    </w:p>
    <w:p>
      <w:pPr>
        <w:spacing w:after="200" w:line="276"/>
        <w:jc w:val="both"/>
      </w:pPr>
      <w:r>
        <w:rPr>
          <w:rFonts w:ascii="Georgia" w:cs="Georgia" w:eastAsia="Georgia" w:hAnsi="Georgia"/>
          <w:sz w:val="24"/>
          <w:szCs w:val="24"/>
        </w:rPr>
        <w:t xml:space="preserve">Plutôt qu'un agent monolithique, certaines architectures distribuent les responsabilités entre plusieurs agents spécialisés qui collaborent. Un agent planificateur décompose les objectifs, un agent exécutant réalise les actions, un agent critique évalue les résultats. Cette division du travail cognitif permet de spécialiser chaque composant et de paralléliser certaines opérations. Nous approfondirons ces architectures au chapitre I.14 sur le maillage agentique.</w:t>
      </w:r>
    </w:p>
    <w:p>
      <w:pPr>
        <w:spacing w:after="200" w:line="276"/>
        <w:jc w:val="both"/>
      </w:pPr>
      <w:r>
        <w:rPr>
          <w:rFonts w:ascii="Georgia" w:cs="Georgia" w:eastAsia="Georgia" w:hAnsi="Georgia"/>
          <w:sz w:val="24"/>
          <w:szCs w:val="24"/>
        </w:rPr>
        <w:t xml:space="preserve">Les cadriciels (frameworks) comme LangChain, LlamaIndex, AutoGen de Microsoft, ou CrewAI facilitent l'implémentation de ces architectures. Ils fournissent des abstractions pour la gestion de la mémoire, l'invocation d'outils, l'orchestration de chaînes de raisonnement. Ces outils démocratisent la création d'agents mais n'éliminent pas le besoin d'une conception soignée.</w:t>
      </w:r>
    </w:p>
    <w:p>
      <w:pPr>
        <w:pStyle w:val="Heading2"/>
      </w:pPr>
      <w:r>
        <w:rPr>
          <w:rFonts w:ascii="Arial" w:cs="Arial" w:eastAsia="Arial" w:hAnsi="Arial"/>
          <w:b/>
          <w:bCs/>
        </w:rPr>
        <w:t xml:space="preserve">I.13.5 Conclusion : L'Agent comme Nouvelle Unité de Travail</w:t>
      </w:r>
    </w:p>
    <w:p>
      <w:pPr>
        <w:spacing w:after="200" w:line="276"/>
        <w:jc w:val="both"/>
      </w:pPr>
      <w:r>
        <w:rPr>
          <w:rFonts w:ascii="Georgia" w:cs="Georgia" w:eastAsia="Georgia" w:hAnsi="Georgia"/>
          <w:sz w:val="24"/>
          <w:szCs w:val="24"/>
        </w:rPr>
        <w:t xml:space="preserve">L'agent cognitif représente une nouvelle unité de travail numérique, distincte tant du logiciel traditionnel que de l'humain. Contrairement au logiciel qui exécute des instructions prédéfinies, l'agent poursuit des objectifs avec flexibilité et adaptation. Contrairement à l'humain, il opère à la vitesse des machines, sans fatigue, avec une scalabilité potentiellement illimitée.</w:t>
      </w:r>
    </w:p>
    <w:p>
      <w:pPr>
        <w:spacing w:after="200" w:line="276"/>
        <w:jc w:val="both"/>
      </w:pPr>
      <w:r>
        <w:rPr>
          <w:rFonts w:ascii="Georgia" w:cs="Georgia" w:eastAsia="Georgia" w:hAnsi="Georgia"/>
          <w:sz w:val="24"/>
          <w:szCs w:val="24"/>
        </w:rPr>
        <w:t xml:space="preserve">Cette nouvelle unité de travail appelle une nouvelle organisation du travail. Comment structurer la collaboration entre agents ? Comment les intégrer aux processus existants ? Comment les superviser et les gouverner ? Les chapitres suivants de cette partie répondront à ces questions en présentant le maillage agentique, l'ingénierie des systèmes cognitifs, et les modèles de gouvernance nécessaires.</w:t>
      </w:r>
    </w:p>
    <w:p>
      <w:pPr>
        <w:spacing w:after="200" w:line="276"/>
        <w:jc w:val="both"/>
      </w:pPr>
      <w:r>
        <w:rPr>
          <w:rFonts w:ascii="Georgia" w:cs="Georgia" w:eastAsia="Georgia" w:hAnsi="Georgia"/>
          <w:sz w:val="24"/>
          <w:szCs w:val="24"/>
        </w:rPr>
        <w:t xml:space="preserve">L'entreprise agentique n'est pas une vision lointaine mais une réalité émergente. Des organisations pionnières déploient déjà des agents pour le support client, l'analyse de données, l'automatisation de processus. Les niveaux d'autonomie progresseront à mesure que la confiance et les garde-fous se développeront. Comprendre l'anatomie et les architectures des agents cognitifs constitue la première étape pour participer à cette transformation.</w:t>
      </w:r>
    </w:p>
    <w:p>
      <w:pPr>
        <w:pStyle w:val="Heading2"/>
      </w:pPr>
      <w:r>
        <w:rPr>
          <w:rFonts w:ascii="Arial" w:cs="Arial" w:eastAsia="Arial" w:hAnsi="Arial"/>
          <w:b/>
          <w:bCs/>
        </w:rPr>
        <w:t xml:space="preserve">I.13.6 Résumé</w:t>
      </w:r>
    </w:p>
    <w:p>
      <w:pPr>
        <w:spacing w:after="200" w:line="276"/>
        <w:jc w:val="both"/>
      </w:pPr>
      <w:r>
        <w:rPr>
          <w:rFonts w:ascii="Georgia" w:cs="Georgia" w:eastAsia="Georgia" w:hAnsi="Georgia"/>
          <w:sz w:val="24"/>
          <w:szCs w:val="24"/>
        </w:rPr>
        <w:t xml:space="preserve">L'IA agentique franchit une frontière qualitative par rapport à l'IA générative. L'agent passe du statut d'outil à celui d'acteur grâce à trois capacités : persistance de l'état, capacité d'action sur l'environnement, et raisonnement orienté objectif. Cette évolution transforme l'IA d'un répondeur ponctuel en un exécutant capable de mener des processus complets.</w:t>
      </w:r>
    </w:p>
    <w:p>
      <w:pPr>
        <w:spacing w:after="200" w:line="276"/>
        <w:jc w:val="both"/>
      </w:pPr>
      <w:r>
        <w:rPr>
          <w:rFonts w:ascii="Georgia" w:cs="Georgia" w:eastAsia="Georgia" w:hAnsi="Georgia"/>
          <w:sz w:val="24"/>
          <w:szCs w:val="24"/>
        </w:rPr>
        <w:t xml:space="preserve">La taxonomie des niveaux d'autonomie (L0-L5) permet de positionner les agents selon leur degré d'indépendance. Les niveaux L0-L2 caractérisent les déploiements actuels avec supervision humaine forte. Le niveau L3 marque le seuil de l'autonomie véritable avec escalade sur exception. Les niveaux L4-L5 représentent des horizons plus lointains posant des questions d'alignement.</w:t>
      </w:r>
    </w:p>
    <w:p>
      <w:pPr>
        <w:spacing w:after="200" w:line="276"/>
        <w:jc w:val="both"/>
      </w:pPr>
      <w:r>
        <w:rPr>
          <w:rFonts w:ascii="Georgia" w:cs="Georgia" w:eastAsia="Georgia" w:hAnsi="Georgia"/>
          <w:sz w:val="24"/>
          <w:szCs w:val="24"/>
        </w:rPr>
        <w:t xml:space="preserve">L'anatomie d'un agent cognitif comprend cinq modules : perception, mémoire, raisonnement, action et apprentissage. Les architectures modernes comme ReAct et Reflexion exploitent les LLM comme moteur central, augmenté par des mécanismes spécialisés. Les cadriciels comme LangChain et AutoGen facilitent l'implémentation.</w:t>
      </w:r>
    </w:p>
    <w:p>
      <w:r>
        <w:br w:type="page"/>
      </w:r>
    </w:p>
    <w:p>
      <w:pPr>
        <w:spacing w:before="600" w:after="200"/>
        <w:jc w:val="center"/>
      </w:pPr>
      <w:r>
        <w:rPr>
          <w:rFonts w:ascii="Georgia" w:cs="Georgia" w:eastAsia="Georgia" w:hAnsi="Georgia"/>
          <w:sz w:val="28"/>
          <w:szCs w:val="28"/>
        </w:rPr>
        <w:t xml:space="preserve">◆ ◆ ◆</w:t>
      </w:r>
    </w:p>
    <w:p>
      <w:pPr>
        <w:spacing w:after="200" w:line="276"/>
        <w:jc w:val="both"/>
      </w:pPr>
      <w:r>
        <w:rPr>
          <w:rFonts w:ascii="Georgia" w:cs="Georgia" w:eastAsia="Georgia" w:hAnsi="Georgia"/>
          <w:b w:val="false"/>
          <w:bCs w:val="false"/>
          <w:i/>
          <w:iCs/>
          <w:sz w:val="24"/>
          <w:szCs w:val="24"/>
        </w:rPr>
        <w:t xml:space="preserve">Le chapitre suivant, </w:t>
      </w:r>
      <w:r>
        <w:rPr>
          <w:rFonts w:ascii="Georgia" w:cs="Georgia" w:eastAsia="Georgia" w:hAnsi="Georgia"/>
          <w:b/>
          <w:bCs/>
          <w:i/>
          <w:iCs/>
          <w:sz w:val="24"/>
          <w:szCs w:val="24"/>
        </w:rPr>
        <w:t xml:space="preserve">Maillage Agentique (Agentic Mesh)</w:t>
      </w:r>
      <w:r>
        <w:rPr>
          <w:rFonts w:ascii="Georgia" w:cs="Georgia" w:eastAsia="Georgia" w:hAnsi="Georgia"/>
          <w:b w:val="false"/>
          <w:bCs w:val="false"/>
          <w:i/>
          <w:iCs/>
          <w:sz w:val="24"/>
          <w:szCs w:val="24"/>
        </w:rPr>
        <w:t xml:space="preserve">, explore comment les agents s'organisent pour collaborer. Un agent isolé a des capacités limitées ; la puissance émerge de la coordination entre agents spécialisés. Le maillage agentique définit les principes architecturaux de cette collaboration, arbitrant entre orchestration centralisée et chorégraphie distribuée.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20"/>
        <w:szCs w:val="20"/>
      </w:rPr>
      <w:t xml:space="preserve">Partie 4 : L'Ère Agentique et Gouvernance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a2a2a"/>
      <w:sz w:val="30"/>
      <w:szCs w:val="30"/>
    </w:rPr>
  </w:style>
  <w:style w:type="paragraph" w:styleId="Heading3">
    <w:name w:val="Heading 3"/>
    <w:basedOn w:val="Normal"/>
    <w:next w:val="Normal"/>
    <w:qFormat/>
    <w:pPr>
      <w:spacing w:before="280" w:after="140"/>
      <w:outlineLvl w:val="2"/>
    </w:pPr>
    <w:rPr>
      <w:rFonts w:ascii="Arial" w:cs="Arial" w:eastAsia="Arial" w:hAnsi="Arial"/>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2026-01-11T10:02:44.449Z</dcterms:created>
  <dcterms:modified xsi:type="dcterms:W3CDTF">2026-01-11T10:02:44.450Z</dcterms:modified>
</cp:coreProperties>
</file>

<file path=docProps/custom.xml><?xml version="1.0" encoding="utf-8"?>
<Properties xmlns="http://schemas.openxmlformats.org/officeDocument/2006/custom-properties" xmlns:vt="http://schemas.openxmlformats.org/officeDocument/2006/docPropsVTypes"/>
</file>