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66666"/>
          <w:sz w:val="28"/>
          <w:szCs w:val="28"/>
        </w:rPr>
        <w:t xml:space="preserve">CHAPITRE I.12</w:t>
      </w:r>
    </w:p>
    <w:p>
      <w:pPr>
        <w:pStyle w:val="Heading1"/>
        <w:spacing w:after="400"/>
        <w:jc w:val="center"/>
      </w:pPr>
      <w:r>
        <w:rPr>
          <w:rFonts w:ascii="Arial" w:cs="Arial" w:eastAsia="Arial" w:hAnsi="Arial"/>
          <w:b/>
          <w:bCs/>
          <w:sz w:val="36"/>
          <w:szCs w:val="36"/>
        </w:rPr>
        <w:t xml:space="preserve">Définition de l'Interopérabilité Cognitivo-Adaptative</w:t>
      </w:r>
    </w:p>
    <w:p>
      <w:pPr>
        <w:spacing w:before="200" w:after="400"/>
        <w:ind w:left="2880"/>
        <w:jc w:val="right"/>
      </w:pPr>
      <w:r>
        <w:rPr>
          <w:rFonts w:ascii="Georgia" w:cs="Georgia" w:eastAsia="Georgia" w:hAnsi="Georgia"/>
          <w:i/>
          <w:iCs/>
          <w:sz w:val="22"/>
          <w:szCs w:val="22"/>
        </w:rPr>
        <w:t xml:space="preserve">« L'intelligence, c'est la capacité de s'adapter au changement. »
— Stephen Hawking</w:t>
      </w:r>
    </w:p>
    <w:p>
      <w:pPr>
        <w:spacing w:after="200" w:line="276"/>
        <w:jc w:val="both"/>
      </w:pPr>
      <w:r>
        <w:rPr>
          <w:rFonts w:ascii="Georgia" w:cs="Georgia" w:eastAsia="Georgia" w:hAnsi="Georgia"/>
          <w:sz w:val="24"/>
          <w:szCs w:val="24"/>
        </w:rPr>
        <w:t xml:space="preserve">Les deux chapitres précédents ont établi le constat et esquissé la solution. Le chapitre I.10 a démontré les limites structurelles des approches traditionnelles de l'interopérabilité sémantique : ontologies rigides, MDM centralisé, fossé sémantique persistant. Le chapitre I.11 a montré comment l'intelligence artificielle transforme notre capacité à comprendre et adapter dynamiquement les échanges de données. Ce chapitre synthétise ces analyses dans une nouvelle définition formelle : l'interopérabilité cognitivo-adaptative.</w:t>
      </w:r>
    </w:p>
    <w:p>
      <w:pPr>
        <w:spacing w:after="200" w:line="276"/>
        <w:jc w:val="both"/>
      </w:pPr>
      <w:r>
        <w:rPr>
          <w:rFonts w:ascii="Georgia" w:cs="Georgia" w:eastAsia="Georgia" w:hAnsi="Georgia"/>
          <w:sz w:val="24"/>
          <w:szCs w:val="24"/>
        </w:rPr>
        <w:t xml:space="preserve">Ce concept ne se limite pas à ajouter de l'IA aux infrastructures existantes. Il représente un changement de paradigme fondamental : passer d'une interopérabilité définie a priori par des modèles statiques à une interopérabilité qui émerge dynamiquement de la compréhension contextuelle des intentions. Nous formaliserons cette définition, présenterons le Jumeau Numérique Cognitif comme architecture de référence, et explorerons la tension créatrice entre rationalité planifiée et intelligence émergente.</w:t>
      </w:r>
    </w:p>
    <w:p>
      <w:pPr>
        <w:pStyle w:val="Heading2"/>
      </w:pPr>
      <w:r>
        <w:rPr>
          <w:rFonts w:ascii="Arial" w:cs="Arial" w:eastAsia="Arial" w:hAnsi="Arial"/>
          <w:b/>
          <w:bCs/>
        </w:rPr>
        <w:t xml:space="preserve">I.12.1 Au-delà de la Sémantique : L'Interopérabilité Basée sur l'Intention</w:t>
      </w:r>
    </w:p>
    <w:p>
      <w:pPr>
        <w:spacing w:after="200" w:line="276"/>
        <w:jc w:val="both"/>
      </w:pPr>
      <w:r>
        <w:rPr>
          <w:rFonts w:ascii="Georgia" w:cs="Georgia" w:eastAsia="Georgia" w:hAnsi="Georgia"/>
          <w:sz w:val="24"/>
          <w:szCs w:val="24"/>
        </w:rPr>
        <w:t xml:space="preserve">L'interopérabilité sémantique traditionnelle se concentre sur le sens des données : que signifie ce champ ? Comment ce concept se relie-t-il à celui-là ? Cette focalisation sur le sens est nécessaire mais insuffisante. Elle ignore une question plus fondamentale : pourquoi ces données sont-elles échangées ? Quelle intention sous-tend la communication ?</w:t>
      </w:r>
    </w:p>
    <w:p>
      <w:pPr>
        <w:spacing w:after="200" w:line="276"/>
        <w:jc w:val="both"/>
      </w:pPr>
      <w:r>
        <w:rPr>
          <w:rFonts w:ascii="Georgia" w:cs="Georgia" w:eastAsia="Georgia" w:hAnsi="Georgia"/>
          <w:sz w:val="24"/>
          <w:szCs w:val="24"/>
        </w:rPr>
        <w:t xml:space="preserve">Considérons un exemple concret. Un système de commandes envoie un événement « CommandeCreee » à un système de logistique. L'interopérabilité sémantique s'assure que les deux systèmes comprennent les champs de la commande — identifiant, client, produits, adresse. Mais elle ne capture pas que l'intention du système de commandes est de déclencher une préparation, que l'urgence dépend du type de client, que certaines commandes nécessitent une validation préalable. Ces éléments d'intention et de contexte sont aussi importants que la structure des données.</w:t>
      </w:r>
    </w:p>
    <w:p>
      <w:pPr>
        <w:spacing w:after="200" w:line="276"/>
        <w:jc w:val="both"/>
      </w:pPr>
      <w:r>
        <w:rPr>
          <w:rFonts w:ascii="Georgia" w:cs="Georgia" w:eastAsia="Georgia" w:hAnsi="Georgia"/>
          <w:sz w:val="24"/>
          <w:szCs w:val="24"/>
        </w:rPr>
        <w:t xml:space="preserve">Le modèle LCIM (Levels of Conceptual Interoperability Model), présenté au chapitre I.3, avait identifié cette limitation. Ses niveaux supérieurs — pragmatique, dynamique, conceptuel — pointaient vers une interopérabilité qui dépasse la simple signification pour englober le contexte d'usage et l'adaptation dynamique. Mais le LCIM restait un modèle descriptif sans moyens de réalisation. L'intelligence artificielle fournit désormais ces moyens.</w:t>
      </w:r>
    </w:p>
    <w:p>
      <w:pPr>
        <w:spacing w:after="200" w:line="276"/>
        <w:jc w:val="both"/>
      </w:pPr>
      <w:r>
        <w:rPr>
          <w:rFonts w:ascii="Georgia" w:cs="Georgia" w:eastAsia="Georgia" w:hAnsi="Georgia"/>
          <w:b w:val="false"/>
          <w:bCs w:val="false"/>
          <w:i w:val="false"/>
          <w:iCs w:val="false"/>
          <w:sz w:val="24"/>
          <w:szCs w:val="24"/>
        </w:rPr>
        <w:t xml:space="preserve">L'</w:t>
      </w:r>
      <w:r>
        <w:rPr>
          <w:rFonts w:ascii="Georgia" w:cs="Georgia" w:eastAsia="Georgia" w:hAnsi="Georgia"/>
          <w:b/>
          <w:bCs/>
          <w:i/>
          <w:iCs/>
          <w:sz w:val="24"/>
          <w:szCs w:val="24"/>
        </w:rPr>
        <w:t xml:space="preserve">interopérabilité basée sur l'intention</w:t>
      </w:r>
      <w:r>
        <w:rPr>
          <w:rFonts w:ascii="Georgia" w:cs="Georgia" w:eastAsia="Georgia" w:hAnsi="Georgia"/>
          <w:b w:val="false"/>
          <w:bCs w:val="false"/>
          <w:i w:val="false"/>
          <w:iCs w:val="false"/>
          <w:sz w:val="24"/>
          <w:szCs w:val="24"/>
        </w:rPr>
        <w:t xml:space="preserve"> (Intent-Based Interoperability) inverse la logique traditionnelle. Au lieu de définir d'abord les structures de données puis de découvrir les usages, elle part des intentions — les objectifs que les systèmes cherchent à accomplir — et dérive les échanges nécessaires. Un agent qui comprend que l'intention est « livrer rapidement au client premium » peut adapter son interprétation des données et ses actions en conséquence, même si cette intention n'était pas explicitement encodée dans le schéma.</w:t>
      </w:r>
    </w:p>
    <w:p>
      <w:pPr>
        <w:spacing w:after="200" w:line="276"/>
        <w:jc w:val="both"/>
      </w:pPr>
      <w:r>
        <w:rPr>
          <w:rFonts w:ascii="Georgia" w:cs="Georgia" w:eastAsia="Georgia" w:hAnsi="Georgia"/>
          <w:sz w:val="24"/>
          <w:szCs w:val="24"/>
        </w:rPr>
        <w:t xml:space="preserve">Cette approche résout le problème de la rigidité. Les intentions évoluent moins vite que les structures de données. Un système conçu pour « satisfaire les commandes clients » restera pertinent même si le format des commandes change, si de nouveaux canaux de vente apparaissent, si les règles métier se complexifient. L'intention fournit un ancrage stable autour duquel l'adaptation peut s'organiser.</w:t>
      </w:r>
    </w:p>
    <w:p>
      <w:pPr>
        <w:pStyle w:val="Heading2"/>
      </w:pPr>
      <w:r>
        <w:rPr>
          <w:rFonts w:ascii="Arial" w:cs="Arial" w:eastAsia="Arial" w:hAnsi="Arial"/>
          <w:b/>
          <w:bCs/>
        </w:rPr>
        <w:t xml:space="preserve">I.12.2 Énoncé Formel de l'Interopérabilité Cognitivo-Adaptative (ICA)</w:t>
      </w:r>
    </w:p>
    <w:p>
      <w:pPr>
        <w:spacing w:after="200" w:line="276"/>
        <w:jc w:val="both"/>
      </w:pPr>
      <w:r>
        <w:rPr>
          <w:rFonts w:ascii="Georgia" w:cs="Georgia" w:eastAsia="Georgia" w:hAnsi="Georgia"/>
          <w:sz w:val="24"/>
          <w:szCs w:val="24"/>
        </w:rPr>
        <w:t xml:space="preserve">Nous proposons la définition suivante de l'interopérabilité cognitivo-adaptative :</w:t>
      </w:r>
    </w:p>
    <w:p>
      <w:pPr>
        <w:pBdr>
          <w:top w:val="single" w:color="888888" w:sz="1"/>
          <w:bottom w:val="single" w:color="888888" w:sz="1"/>
          <w:left w:val="single" w:color="888888" w:sz="1"/>
          <w:right w:val="single" w:color="888888" w:sz="1"/>
        </w:pBdr>
        <w:shd w:fill="F5F5F5"/>
        <w:spacing w:before="300" w:after="300"/>
        <w:jc w:val="center"/>
      </w:pPr>
      <w:r>
        <w:rPr>
          <w:rFonts w:ascii="Georgia" w:cs="Georgia" w:eastAsia="Georgia" w:hAnsi="Georgia"/>
          <w:i/>
          <w:iCs/>
          <w:sz w:val="24"/>
          <w:szCs w:val="24"/>
        </w:rPr>
        <w:t xml:space="preserve">L'interopérabilité cognitivo-adaptative (ICA) est la capacité de systèmes hétérogènes à échanger des informations, à comprendre mutuellement leurs intentions, et à adapter dynamiquement leurs interactions en fonction du contexte, sans nécessiter de modélisation préalable exhaustive ni d'intervention humaine systématique.</w:t>
      </w:r>
    </w:p>
    <w:p>
      <w:pPr>
        <w:spacing w:after="200" w:line="276"/>
        <w:jc w:val="both"/>
      </w:pPr>
      <w:r>
        <w:rPr>
          <w:rFonts w:ascii="Georgia" w:cs="Georgia" w:eastAsia="Georgia" w:hAnsi="Georgia"/>
          <w:sz w:val="24"/>
          <w:szCs w:val="24"/>
        </w:rPr>
        <w:t xml:space="preserve">Cette définition se décompose en quatre propriétés constitutives qui la distinguent des formes antérieures d'interopérabilité.</w:t>
      </w:r>
    </w:p>
    <w:p>
      <w:pPr>
        <w:spacing w:after="200" w:line="276"/>
        <w:jc w:val="both"/>
      </w:pPr>
      <w:r>
        <w:rPr>
          <w:rFonts w:ascii="Georgia" w:cs="Georgia" w:eastAsia="Georgia" w:hAnsi="Georgia"/>
          <w:b w:val="false"/>
          <w:bCs w:val="false"/>
          <w:i w:val="false"/>
          <w:iCs w:val="false"/>
          <w:sz w:val="24"/>
          <w:szCs w:val="24"/>
        </w:rPr>
        <w:t xml:space="preserve">La </w:t>
      </w:r>
      <w:r>
        <w:rPr>
          <w:rFonts w:ascii="Georgia" w:cs="Georgia" w:eastAsia="Georgia" w:hAnsi="Georgia"/>
          <w:b/>
          <w:bCs/>
          <w:i/>
          <w:iCs/>
          <w:sz w:val="24"/>
          <w:szCs w:val="24"/>
        </w:rPr>
        <w:t xml:space="preserve">compréhension intentionnelle</w:t>
      </w:r>
      <w:r>
        <w:rPr>
          <w:rFonts w:ascii="Georgia" w:cs="Georgia" w:eastAsia="Georgia" w:hAnsi="Georgia"/>
          <w:b w:val="false"/>
          <w:bCs w:val="false"/>
          <w:i w:val="false"/>
          <w:iCs w:val="false"/>
          <w:sz w:val="24"/>
          <w:szCs w:val="24"/>
        </w:rPr>
        <w:t xml:space="preserve"> désigne la capacité de saisir non seulement ce que les données représentent mais pourquoi elles sont échangées. Un système doté de cette capacité peut inférer l'objectif d'une communication à partir de son contexte et ajuster son comportement en conséquence. Cette compréhension va au-delà du parsing syntaxique ou du mapping sémantique ; elle touche à la pragmatique de la communication.</w:t>
      </w:r>
    </w:p>
    <w:p>
      <w:pPr>
        <w:spacing w:after="200" w:line="276"/>
        <w:jc w:val="both"/>
      </w:pPr>
      <w:r>
        <w:rPr>
          <w:rFonts w:ascii="Georgia" w:cs="Georgia" w:eastAsia="Georgia" w:hAnsi="Georgia"/>
          <w:b w:val="false"/>
          <w:bCs w:val="false"/>
          <w:i w:val="false"/>
          <w:iCs w:val="false"/>
          <w:sz w:val="24"/>
          <w:szCs w:val="24"/>
        </w:rPr>
        <w:t xml:space="preserve">L'</w:t>
      </w:r>
      <w:r>
        <w:rPr>
          <w:rFonts w:ascii="Georgia" w:cs="Georgia" w:eastAsia="Georgia" w:hAnsi="Georgia"/>
          <w:b/>
          <w:bCs/>
          <w:i/>
          <w:iCs/>
          <w:sz w:val="24"/>
          <w:szCs w:val="24"/>
        </w:rPr>
        <w:t xml:space="preserve">adaptation dynamique</w:t>
      </w:r>
      <w:r>
        <w:rPr>
          <w:rFonts w:ascii="Georgia" w:cs="Georgia" w:eastAsia="Georgia" w:hAnsi="Georgia"/>
          <w:b w:val="false"/>
          <w:bCs w:val="false"/>
          <w:i w:val="false"/>
          <w:iCs w:val="false"/>
          <w:sz w:val="24"/>
          <w:szCs w:val="24"/>
        </w:rPr>
        <w:t xml:space="preserve"> désigne la capacité de modifier les comportements d'échange en temps réel, sans redéploiement ni reconfiguration manuelle. Face à un nouveau format de données, un nouveau partenaire ou une nouvelle règle métier, le système s'ajuste automatiquement. Cette adaptation peut concerner les transformations de données, les règles de routage, les niveaux de service ou les politiques de sécurité.</w:t>
      </w:r>
    </w:p>
    <w:p>
      <w:pPr>
        <w:spacing w:after="200" w:line="276"/>
        <w:jc w:val="both"/>
      </w:pPr>
      <w:r>
        <w:rPr>
          <w:rFonts w:ascii="Georgia" w:cs="Georgia" w:eastAsia="Georgia" w:hAnsi="Georgia"/>
          <w:b w:val="false"/>
          <w:bCs w:val="false"/>
          <w:i w:val="false"/>
          <w:iCs w:val="false"/>
          <w:sz w:val="24"/>
          <w:szCs w:val="24"/>
        </w:rPr>
        <w:t xml:space="preserve">La </w:t>
      </w:r>
      <w:r>
        <w:rPr>
          <w:rFonts w:ascii="Georgia" w:cs="Georgia" w:eastAsia="Georgia" w:hAnsi="Georgia"/>
          <w:b/>
          <w:bCs/>
          <w:i/>
          <w:iCs/>
          <w:sz w:val="24"/>
          <w:szCs w:val="24"/>
        </w:rPr>
        <w:t xml:space="preserve">contextualisation continue</w:t>
      </w:r>
      <w:r>
        <w:rPr>
          <w:rFonts w:ascii="Georgia" w:cs="Georgia" w:eastAsia="Georgia" w:hAnsi="Georgia"/>
          <w:b w:val="false"/>
          <w:bCs w:val="false"/>
          <w:i w:val="false"/>
          <w:iCs w:val="false"/>
          <w:sz w:val="24"/>
          <w:szCs w:val="24"/>
        </w:rPr>
        <w:t xml:space="preserve"> désigne la prise en compte permanente du contexte dans l'interprétation des échanges. Le même message peut avoir des significations différentes selon l'émetteur, le moment, l'historique des interactions, l'état des systèmes. Un système cognitivement interopérable maintient une conscience de ce contexte et l'utilise pour désambiguïser et enrichir sa compréhension.</w:t>
      </w:r>
    </w:p>
    <w:p>
      <w:pPr>
        <w:spacing w:after="200" w:line="276"/>
        <w:jc w:val="both"/>
      </w:pPr>
      <w:r>
        <w:rPr>
          <w:rFonts w:ascii="Georgia" w:cs="Georgia" w:eastAsia="Georgia" w:hAnsi="Georgia"/>
          <w:b w:val="false"/>
          <w:bCs w:val="false"/>
          <w:i w:val="false"/>
          <w:iCs w:val="false"/>
          <w:sz w:val="24"/>
          <w:szCs w:val="24"/>
        </w:rPr>
        <w:t xml:space="preserve">L'</w:t>
      </w:r>
      <w:r>
        <w:rPr>
          <w:rFonts w:ascii="Georgia" w:cs="Georgia" w:eastAsia="Georgia" w:hAnsi="Georgia"/>
          <w:b/>
          <w:bCs/>
          <w:i/>
          <w:iCs/>
          <w:sz w:val="24"/>
          <w:szCs w:val="24"/>
        </w:rPr>
        <w:t xml:space="preserve">autonomie supervisée</w:t>
      </w:r>
      <w:r>
        <w:rPr>
          <w:rFonts w:ascii="Georgia" w:cs="Georgia" w:eastAsia="Georgia" w:hAnsi="Georgia"/>
          <w:b w:val="false"/>
          <w:bCs w:val="false"/>
          <w:i w:val="false"/>
          <w:iCs w:val="false"/>
          <w:sz w:val="24"/>
          <w:szCs w:val="24"/>
        </w:rPr>
        <w:t xml:space="preserve"> désigne la capacité d'opérer sans intervention humaine constante tout en restant sous contrôle humain. Le système prend des décisions d'adaptation dans les limites définies par des politiques. Il escalade vers les humains les situations qui dépassent son mandat ou sa confiance. Cette propriété distingue l'ICA tant de l'automatisation rigide que de l'autonomie totale.</w:t>
      </w:r>
    </w:p>
    <w:p>
      <w:pPr>
        <w:spacing w:before="300" w:after="200"/>
      </w:pPr>
      <w:r>
        <w:rPr>
          <w:rFonts w:ascii="Arial" w:cs="Arial" w:eastAsia="Arial" w:hAnsi="Arial"/>
          <w:b/>
          <w:bCs/>
          <w:i/>
          <w:iCs/>
          <w:sz w:val="22"/>
          <w:szCs w:val="22"/>
        </w:rPr>
        <w:t xml:space="preserve">Tableau I.12.1 — Évolution des Paradigmes d'Interopérabilité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Paradigme</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Focus</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Mécanisme</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Adaptation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Technique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Protocoles, formats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Standards (HTTP, JSON)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Nulle (statique)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Syntaxique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 des données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Schémas (XSD, Avro)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Manuelle (versioning)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Sémantique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Sens des données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Ontologies, MDM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Lente (gouvernance)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Cognitivo-Adaptative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Intention, contexte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IA, LLM, agents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Dynamique (temps réel)</w:t>
            </w:r>
          </w:p>
        </w:tc>
      </w:tr>
    </w:tbl>
    <w:p>
      <w:pPr>
        <w:pStyle w:val="Heading2"/>
        <w:spacing w:before="400"/>
      </w:pPr>
      <w:r>
        <w:rPr>
          <w:rFonts w:ascii="Arial" w:cs="Arial" w:eastAsia="Arial" w:hAnsi="Arial"/>
          <w:b/>
          <w:bCs/>
        </w:rPr>
        <w:t xml:space="preserve">I.12.3 Le Jumeau Numérique Cognitif (JNC)</w:t>
      </w:r>
    </w:p>
    <w:p>
      <w:pPr>
        <w:spacing w:after="200" w:line="276"/>
        <w:jc w:val="both"/>
      </w:pPr>
      <w:r>
        <w:rPr>
          <w:rFonts w:ascii="Georgia" w:cs="Georgia" w:eastAsia="Georgia" w:hAnsi="Georgia"/>
          <w:sz w:val="24"/>
          <w:szCs w:val="24"/>
        </w:rPr>
        <w:t xml:space="preserve">Le Jumeau Numérique Cognitif (JNC) constitue l'architecture de référence pour réaliser l'interopérabilité cognitivo-adaptative. Il étend le concept classique de jumeau numérique — une réplique virtuelle d'un actif physique — en y ajoutant des capacités cognitives : compréhension, raisonnement, adaptation, apprentissage.</w:t>
      </w:r>
    </w:p>
    <w:p>
      <w:pPr>
        <w:spacing w:after="200" w:line="276"/>
        <w:jc w:val="both"/>
      </w:pPr>
      <w:r>
        <w:rPr>
          <w:rFonts w:ascii="Georgia" w:cs="Georgia" w:eastAsia="Georgia" w:hAnsi="Georgia"/>
          <w:sz w:val="24"/>
          <w:szCs w:val="24"/>
        </w:rPr>
        <w:t xml:space="preserve">Un jumeau numérique traditionnel synchronise son état avec l'entité qu'il représente : un équipement industriel, un bâtiment, un processus. Il permet la simulation, le monitoring et l'optimisation. Mais il reste passif : il reflète la réalité sans la comprendre. Le Jumeau Numérique Cognitif ajoute une couche d'intelligence qui interprète les données, anticipe les évolutions et recommande ou initie des actions.</w:t>
      </w:r>
    </w:p>
    <w:p>
      <w:pPr>
        <w:spacing w:after="200" w:line="276"/>
        <w:jc w:val="both"/>
      </w:pPr>
      <w:r>
        <w:rPr>
          <w:rFonts w:ascii="Georgia" w:cs="Georgia" w:eastAsia="Georgia" w:hAnsi="Georgia"/>
          <w:b w:val="false"/>
          <w:bCs w:val="false"/>
          <w:i w:val="false"/>
          <w:iCs w:val="false"/>
          <w:sz w:val="24"/>
          <w:szCs w:val="24"/>
        </w:rPr>
        <w:t xml:space="preserve">Le JNC se compose de trois couches interconnectées. La </w:t>
      </w:r>
      <w:r>
        <w:rPr>
          <w:rFonts w:ascii="Georgia" w:cs="Georgia" w:eastAsia="Georgia" w:hAnsi="Georgia"/>
          <w:b/>
          <w:bCs/>
          <w:i/>
          <w:iCs/>
          <w:sz w:val="24"/>
          <w:szCs w:val="24"/>
        </w:rPr>
        <w:t xml:space="preserve">couche de perception</w:t>
      </w:r>
      <w:r>
        <w:rPr>
          <w:rFonts w:ascii="Georgia" w:cs="Georgia" w:eastAsia="Georgia" w:hAnsi="Georgia"/>
          <w:b w:val="false"/>
          <w:bCs w:val="false"/>
          <w:i w:val="false"/>
          <w:iCs w:val="false"/>
          <w:sz w:val="24"/>
          <w:szCs w:val="24"/>
        </w:rPr>
        <w:t xml:space="preserve"> ingère les flux de données depuis les systèmes sources — événements Kafka, API, fichiers, capteurs IoT. Elle normalise, nettoie et enrichit ces données pour les rendre exploitables par les couches supérieures. Les techniques de traitement de flux (Kafka Streams, Apache Flink) et d'extraction d'entités (NER, NLP) opèrent à ce niveau.</w:t>
      </w:r>
    </w:p>
    <w:p>
      <w:pPr>
        <w:spacing w:after="200" w:line="276"/>
        <w:jc w:val="both"/>
      </w:pPr>
      <w:r>
        <w:rPr>
          <w:rFonts w:ascii="Georgia" w:cs="Georgia" w:eastAsia="Georgia" w:hAnsi="Georgia"/>
          <w:b w:val="false"/>
          <w:bCs w:val="false"/>
          <w:i w:val="false"/>
          <w:iCs w:val="false"/>
          <w:sz w:val="24"/>
          <w:szCs w:val="24"/>
        </w:rPr>
        <w:t xml:space="preserve">La </w:t>
      </w:r>
      <w:r>
        <w:rPr>
          <w:rFonts w:ascii="Georgia" w:cs="Georgia" w:eastAsia="Georgia" w:hAnsi="Georgia"/>
          <w:b/>
          <w:bCs/>
          <w:i/>
          <w:iCs/>
          <w:sz w:val="24"/>
          <w:szCs w:val="24"/>
        </w:rPr>
        <w:t xml:space="preserve">couche de cognition</w:t>
      </w:r>
      <w:r>
        <w:rPr>
          <w:rFonts w:ascii="Georgia" w:cs="Georgia" w:eastAsia="Georgia" w:hAnsi="Georgia"/>
          <w:b w:val="false"/>
          <w:bCs w:val="false"/>
          <w:i w:val="false"/>
          <w:iCs w:val="false"/>
          <w:sz w:val="24"/>
          <w:szCs w:val="24"/>
        </w:rPr>
        <w:t xml:space="preserve"> constitue le cœur intelligent du JNC. Elle maintient un modèle du domaine qui représente les entités, leurs relations et leurs états. Elle applique des capacités de raisonnement — règles métier, inférences logiques, prédictions statistiques — pour interpréter les situations. Les grands modèles de langage peuvent augmenter cette couche avec une compréhension contextuelle et une capacité de généralisation.</w:t>
      </w:r>
    </w:p>
    <w:p>
      <w:pPr>
        <w:spacing w:after="200" w:line="276"/>
        <w:jc w:val="both"/>
      </w:pPr>
      <w:r>
        <w:rPr>
          <w:rFonts w:ascii="Georgia" w:cs="Georgia" w:eastAsia="Georgia" w:hAnsi="Georgia"/>
          <w:b w:val="false"/>
          <w:bCs w:val="false"/>
          <w:i w:val="false"/>
          <w:iCs w:val="false"/>
          <w:sz w:val="24"/>
          <w:szCs w:val="24"/>
        </w:rPr>
        <w:t xml:space="preserve">La </w:t>
      </w:r>
      <w:r>
        <w:rPr>
          <w:rFonts w:ascii="Georgia" w:cs="Georgia" w:eastAsia="Georgia" w:hAnsi="Georgia"/>
          <w:b/>
          <w:bCs/>
          <w:i/>
          <w:iCs/>
          <w:sz w:val="24"/>
          <w:szCs w:val="24"/>
        </w:rPr>
        <w:t xml:space="preserve">couche d'action</w:t>
      </w:r>
      <w:r>
        <w:rPr>
          <w:rFonts w:ascii="Georgia" w:cs="Georgia" w:eastAsia="Georgia" w:hAnsi="Georgia"/>
          <w:b w:val="false"/>
          <w:bCs w:val="false"/>
          <w:i w:val="false"/>
          <w:iCs w:val="false"/>
          <w:sz w:val="24"/>
          <w:szCs w:val="24"/>
        </w:rPr>
        <w:t xml:space="preserve"> traduit les décisions cognitives en interventions sur le monde réel. Elle peut modifier des configurations, déclencher des processus, alerter des opérateurs ou interagir avec d'autres systèmes via API et événements. Les garde-fous de l'autonomie supervisée s'appliquent ici : politiques d'autorisation, limites d'impact, circuits d'approbation humaine.</w:t>
      </w:r>
    </w:p>
    <w:p>
      <w:pPr>
        <w:spacing w:after="200" w:line="276"/>
        <w:jc w:val="both"/>
      </w:pPr>
      <w:r>
        <w:rPr>
          <w:rFonts w:ascii="Georgia" w:cs="Georgia" w:eastAsia="Georgia" w:hAnsi="Georgia"/>
          <w:sz w:val="24"/>
          <w:szCs w:val="24"/>
        </w:rPr>
        <w:t xml:space="preserve">Dans le contexte de l'interopérabilité, le JNC peut servir de médiateur intelligent entre systèmes hétérogènes. Plutôt que de définir statiquement des mappings entre chaque paire de systèmes, le JNC comprend les deux côtés et effectue les traductions nécessaires dynamiquement. Il peut résoudre les ambiguïtés sémantiques en utilisant le contexte, adapter les transformations aux évolutions des schémas, et même découvrir de nouvelles correspondances par apprentissage.</w:t>
      </w:r>
    </w:p>
    <w:p>
      <w:pPr>
        <w:pStyle w:val="Heading2"/>
      </w:pPr>
      <w:r>
        <w:rPr>
          <w:rFonts w:ascii="Arial" w:cs="Arial" w:eastAsia="Arial" w:hAnsi="Arial"/>
          <w:b/>
          <w:bCs/>
        </w:rPr>
        <w:t xml:space="preserve">I.12.4 La Tension Fondamentale : Rationalité vs. Émergence</w:t>
      </w:r>
    </w:p>
    <w:p>
      <w:pPr>
        <w:spacing w:after="200" w:line="276"/>
        <w:jc w:val="both"/>
      </w:pPr>
      <w:r>
        <w:rPr>
          <w:rFonts w:ascii="Georgia" w:cs="Georgia" w:eastAsia="Georgia" w:hAnsi="Georgia"/>
          <w:sz w:val="24"/>
          <w:szCs w:val="24"/>
        </w:rPr>
        <w:t xml:space="preserve">L'interopérabilité cognitivo-adaptative révèle une tension fondamentale entre deux modes de création d'ordre dans les systèmes complexes. D'un côté, la rationalité planifiée : des architectes conçoivent des structures, définissent des règles, établissent des standards. De l'autre, l'intelligence émergente : des comportements cohérents apparaissent spontanément des interactions entre agents adaptatifs, sans conception centralisée.</w:t>
      </w:r>
    </w:p>
    <w:p>
      <w:pPr>
        <w:spacing w:after="200" w:line="276"/>
        <w:jc w:val="both"/>
      </w:pPr>
      <w:r>
        <w:rPr>
          <w:rFonts w:ascii="Georgia" w:cs="Georgia" w:eastAsia="Georgia" w:hAnsi="Georgia"/>
          <w:sz w:val="24"/>
          <w:szCs w:val="24"/>
        </w:rPr>
        <w:t xml:space="preserve">L'architecture d'entreprise traditionnelle penche résolument du côté de la rationalité. Les cadres comme TOGAF, les modèles canoniques, la gouvernance centralisée supposent qu'un ordre optimal peut être conçu à l'avance et imposé par directive. Cette approche fonctionne pour les systèmes relativement simples et stables. Elle atteint ses limites face à la complexité, la dynamique et l'incertitude des environnements modernes.</w:t>
      </w:r>
    </w:p>
    <w:p>
      <w:pPr>
        <w:spacing w:after="200" w:line="276"/>
        <w:jc w:val="both"/>
      </w:pPr>
      <w:r>
        <w:rPr>
          <w:rFonts w:ascii="Georgia" w:cs="Georgia" w:eastAsia="Georgia" w:hAnsi="Georgia"/>
          <w:sz w:val="24"/>
          <w:szCs w:val="24"/>
        </w:rPr>
        <w:t xml:space="preserve">Les systèmes adaptatifs complexes — écosystèmes biologiques, marchés économiques, réseaux sociaux — fonctionnent différemment. L'ordre émerge des interactions locales entre agents qui suivent des règles simples. Personne ne conçoit la structure globale ; elle s'auto-organise. Cette émergence produit souvent des solutions plus robustes et adaptatives que la conception centralisée, mais elle est moins prévisible et moins contrôlable.</w:t>
      </w:r>
    </w:p>
    <w:p>
      <w:pPr>
        <w:spacing w:after="200" w:line="276"/>
        <w:jc w:val="both"/>
      </w:pPr>
      <w:r>
        <w:rPr>
          <w:rFonts w:ascii="Georgia" w:cs="Georgia" w:eastAsia="Georgia" w:hAnsi="Georgia"/>
          <w:sz w:val="24"/>
          <w:szCs w:val="24"/>
        </w:rPr>
        <w:t xml:space="preserve">L'entreprise agentique, que nous développerons dans la quatrième partie, devra naviguer cette tension. Des agents cognitifs autonomes interagiront, apprendront et s'adapteront, faisant émerger des comportements collectifs non programmés explicitement. Mais cette émergence devra rester alignée avec les intentions de l'organisation — d'où l'importance de la gouvernance constitutionnelle que nous présenterons au chapitre I.17.</w:t>
      </w:r>
    </w:p>
    <w:p>
      <w:pPr>
        <w:pStyle w:val="Heading2"/>
      </w:pPr>
      <w:r>
        <w:rPr>
          <w:rFonts w:ascii="Arial" w:cs="Arial" w:eastAsia="Arial" w:hAnsi="Arial"/>
          <w:b/>
          <w:bCs/>
        </w:rPr>
        <w:t xml:space="preserve">I.12.5 Le Cadre Hybride : Esquisse d'une Solution Architecturale</w:t>
      </w:r>
    </w:p>
    <w:p>
      <w:pPr>
        <w:spacing w:after="200" w:line="276"/>
        <w:jc w:val="both"/>
      </w:pPr>
      <w:r>
        <w:rPr>
          <w:rFonts w:ascii="Georgia" w:cs="Georgia" w:eastAsia="Georgia" w:hAnsi="Georgia"/>
          <w:sz w:val="24"/>
          <w:szCs w:val="24"/>
        </w:rPr>
        <w:t xml:space="preserve">La résolution de la tension rationalité-émergence ne passe pas par le choix exclusif d'un camp mais par leur hybridation. Le cadre hybride que nous proposons combine des structures rationnelles qui définissent les limites et les invariants avec des mécanismes adaptatifs qui optimisent à l'intérieur de ces limites.</w:t>
      </w:r>
    </w:p>
    <w:p>
      <w:pPr>
        <w:spacing w:after="200" w:line="276"/>
        <w:jc w:val="both"/>
      </w:pPr>
      <w:r>
        <w:rPr>
          <w:rFonts w:ascii="Georgia" w:cs="Georgia" w:eastAsia="Georgia" w:hAnsi="Georgia"/>
          <w:b w:val="false"/>
          <w:bCs w:val="false"/>
          <w:i w:val="false"/>
          <w:iCs w:val="false"/>
          <w:sz w:val="24"/>
          <w:szCs w:val="24"/>
        </w:rPr>
        <w:t xml:space="preserve">Les </w:t>
      </w:r>
      <w:r>
        <w:rPr>
          <w:rFonts w:ascii="Georgia" w:cs="Georgia" w:eastAsia="Georgia" w:hAnsi="Georgia"/>
          <w:b/>
          <w:bCs/>
          <w:i/>
          <w:iCs/>
          <w:sz w:val="24"/>
          <w:szCs w:val="24"/>
        </w:rPr>
        <w:t xml:space="preserve">invariants architecturaux</w:t>
      </w:r>
      <w:r>
        <w:rPr>
          <w:rFonts w:ascii="Georgia" w:cs="Georgia" w:eastAsia="Georgia" w:hAnsi="Georgia"/>
          <w:b w:val="false"/>
          <w:bCs w:val="false"/>
          <w:i w:val="false"/>
          <w:iCs w:val="false"/>
          <w:sz w:val="24"/>
          <w:szCs w:val="24"/>
        </w:rPr>
        <w:t xml:space="preserve"> constituent le squelette stable du système. Ils incluent les protocoles fondamentaux (Kafka comme backbone événementiel), les contrats de sécurité (authentification, autorisation), les politiques de gouvernance (classification des données, règles de rétention), et les principes éthiques (limites de l'autonomie, protection de la vie privée). Ces invariants sont définis rationnellement et évoluent lentement, par processus de gouvernance délibéré.</w:t>
      </w:r>
    </w:p>
    <w:p>
      <w:pPr>
        <w:spacing w:after="200" w:line="276"/>
        <w:jc w:val="both"/>
      </w:pPr>
      <w:r>
        <w:rPr>
          <w:rFonts w:ascii="Georgia" w:cs="Georgia" w:eastAsia="Georgia" w:hAnsi="Georgia"/>
          <w:b w:val="false"/>
          <w:bCs w:val="false"/>
          <w:i w:val="false"/>
          <w:iCs w:val="false"/>
          <w:sz w:val="24"/>
          <w:szCs w:val="24"/>
        </w:rPr>
        <w:t xml:space="preserve">Les </w:t>
      </w:r>
      <w:r>
        <w:rPr>
          <w:rFonts w:ascii="Georgia" w:cs="Georgia" w:eastAsia="Georgia" w:hAnsi="Georgia"/>
          <w:b/>
          <w:bCs/>
          <w:i/>
          <w:iCs/>
          <w:sz w:val="24"/>
          <w:szCs w:val="24"/>
        </w:rPr>
        <w:t xml:space="preserve">comportements adaptatifs</w:t>
      </w:r>
      <w:r>
        <w:rPr>
          <w:rFonts w:ascii="Georgia" w:cs="Georgia" w:eastAsia="Georgia" w:hAnsi="Georgia"/>
          <w:b w:val="false"/>
          <w:bCs w:val="false"/>
          <w:i w:val="false"/>
          <w:iCs w:val="false"/>
          <w:sz w:val="24"/>
          <w:szCs w:val="24"/>
        </w:rPr>
        <w:t xml:space="preserve"> opèrent à l'intérieur des limites définies par les invariants. Les transformations de données s'ajustent aux variations des schémas. Les règles de routage optimisent la distribution de charge. Les modèles d'IA affinent leurs prédictions. Ces adaptations se produisent en temps réel, sans intervention humaine, guidées par des objectifs et des métriques plutôt que par des spécifications rigides.</w:t>
      </w:r>
    </w:p>
    <w:p>
      <w:pPr>
        <w:spacing w:after="200" w:line="276"/>
        <w:jc w:val="both"/>
      </w:pPr>
      <w:r>
        <w:rPr>
          <w:rFonts w:ascii="Georgia" w:cs="Georgia" w:eastAsia="Georgia" w:hAnsi="Georgia"/>
          <w:b w:val="false"/>
          <w:bCs w:val="false"/>
          <w:i w:val="false"/>
          <w:iCs w:val="false"/>
          <w:sz w:val="24"/>
          <w:szCs w:val="24"/>
        </w:rPr>
        <w:t xml:space="preserve">Les </w:t>
      </w:r>
      <w:r>
        <w:rPr>
          <w:rFonts w:ascii="Georgia" w:cs="Georgia" w:eastAsia="Georgia" w:hAnsi="Georgia"/>
          <w:b/>
          <w:bCs/>
          <w:i/>
          <w:iCs/>
          <w:sz w:val="24"/>
          <w:szCs w:val="24"/>
        </w:rPr>
        <w:t xml:space="preserve">mécanismes de feedback</w:t>
      </w:r>
      <w:r>
        <w:rPr>
          <w:rFonts w:ascii="Georgia" w:cs="Georgia" w:eastAsia="Georgia" w:hAnsi="Georgia"/>
          <w:b w:val="false"/>
          <w:bCs w:val="false"/>
          <w:i w:val="false"/>
          <w:iCs w:val="false"/>
          <w:sz w:val="24"/>
          <w:szCs w:val="24"/>
        </w:rPr>
        <w:t xml:space="preserve"> connectent les deux niveaux. L'observation des comportements adaptatifs peut révéler des patterns récurrents qui méritent d'être stabilisés en invariants. Inversement, des invariants qui causent systématiquement des frictions peuvent être assouplis. Ce feedback crée une co-évolution entre la structure et l'adaptation.</w:t>
      </w:r>
    </w:p>
    <w:p>
      <w:pPr>
        <w:spacing w:after="200" w:line="276"/>
        <w:jc w:val="both"/>
      </w:pPr>
      <w:r>
        <w:rPr>
          <w:rFonts w:ascii="Georgia" w:cs="Georgia" w:eastAsia="Georgia" w:hAnsi="Georgia"/>
          <w:sz w:val="24"/>
          <w:szCs w:val="24"/>
        </w:rPr>
        <w:t xml:space="preserve">Ce cadre hybride n'est pas une utopie future mais une direction déjà empruntée par les organisations les plus avancées. Les Feature Flags permettent d'activer des comportements sans redéploiement. Le Chaos Engineering introduit de l'imprévisibilité contrôlée pour valider la résilience. L'A/B testing laisse émerger les meilleures solutions de l'expérimentation plutôt que de la spécification. L'ICA étend cette logique à l'interopérabilité elle-même.</w:t>
      </w:r>
    </w:p>
    <w:p>
      <w:pPr>
        <w:pStyle w:val="Heading2"/>
      </w:pPr>
      <w:r>
        <w:rPr>
          <w:rFonts w:ascii="Arial" w:cs="Arial" w:eastAsia="Arial" w:hAnsi="Arial"/>
          <w:b/>
          <w:bCs/>
        </w:rPr>
        <w:t xml:space="preserve">I.12.6 Conclusion : Le Nouveau Paradigme de l'Interopérabilité</w:t>
      </w:r>
    </w:p>
    <w:p>
      <w:pPr>
        <w:spacing w:after="200" w:line="276"/>
        <w:jc w:val="both"/>
      </w:pPr>
      <w:r>
        <w:rPr>
          <w:rFonts w:ascii="Georgia" w:cs="Georgia" w:eastAsia="Georgia" w:hAnsi="Georgia"/>
          <w:sz w:val="24"/>
          <w:szCs w:val="24"/>
        </w:rPr>
        <w:t xml:space="preserve">L'interopérabilité cognitivo-adaptative représente un changement de paradigme dans notre manière de concevoir les échanges entre systèmes. Elle dépasse la vision mécaniste où l'interopérabilité est un problème à résoudre une fois pour toutes par la bonne modélisation. Elle embrasse une vision organique où l'interopérabilité est une capacité vivante, qui s'adapte et évolue avec son environnement.</w:t>
      </w:r>
    </w:p>
    <w:p>
      <w:pPr>
        <w:spacing w:after="200" w:line="276"/>
        <w:jc w:val="both"/>
      </w:pPr>
      <w:r>
        <w:rPr>
          <w:rFonts w:ascii="Georgia" w:cs="Georgia" w:eastAsia="Georgia" w:hAnsi="Georgia"/>
          <w:sz w:val="24"/>
          <w:szCs w:val="24"/>
        </w:rPr>
        <w:t xml:space="preserve">Cette troisième partie a tracé le chemin depuis les limites des approches traditionnelles jusqu'à cette nouvelle vision. Le concept formel d'ICA et l'architecture du Jumeau Numérique Cognitif fournissent les bases conceptuelles. Le cadre hybride esquisse une voie de mise en œuvre qui concilie structure et adaptation. Ces fondations préparent l'entreprise à accueillir les agents cognitifs qui en seront les acteurs principaux.</w:t>
      </w:r>
    </w:p>
    <w:p>
      <w:pPr>
        <w:spacing w:after="200" w:line="276"/>
        <w:jc w:val="both"/>
      </w:pPr>
      <w:r>
        <w:rPr>
          <w:rFonts w:ascii="Georgia" w:cs="Georgia" w:eastAsia="Georgia" w:hAnsi="Georgia"/>
          <w:sz w:val="24"/>
          <w:szCs w:val="24"/>
        </w:rPr>
        <w:t xml:space="preserve">La quatrième partie plongera au cœur de l'ère agentique. Nous y définirons ce que sont les agents cognitifs, comment ils s'organisent en maillages collaboratifs, comment les concevoir et les gouverner. L'interopérabilité cognitivo-adaptative n'est pas une fin en soi ; elle est la condition de possibilité d'une organisation où humains et agents cognitifs collaborent pour créer de la valeur.</w:t>
      </w:r>
    </w:p>
    <w:p>
      <w:pPr>
        <w:pStyle w:val="Heading2"/>
      </w:pPr>
      <w:r>
        <w:rPr>
          <w:rFonts w:ascii="Arial" w:cs="Arial" w:eastAsia="Arial" w:hAnsi="Arial"/>
          <w:b/>
          <w:bCs/>
        </w:rPr>
        <w:t xml:space="preserve">I.12.7 Résumé</w:t>
      </w:r>
    </w:p>
    <w:p>
      <w:pPr>
        <w:spacing w:after="200" w:line="276"/>
        <w:jc w:val="both"/>
      </w:pPr>
      <w:r>
        <w:rPr>
          <w:rFonts w:ascii="Georgia" w:cs="Georgia" w:eastAsia="Georgia" w:hAnsi="Georgia"/>
          <w:sz w:val="24"/>
          <w:szCs w:val="24"/>
        </w:rPr>
        <w:t xml:space="preserve">L'interopérabilité basée sur l'intention dépasse la sémantique traditionnelle en s'intéressant au « pourquoi » des échanges plutôt qu'au seul « quoi ». Les intentions fournissent un ancrage stable autour duquel l'adaptation peut s'organiser, résolvant le problème de la rigidité des modèles canoniques.</w:t>
      </w:r>
    </w:p>
    <w:p>
      <w:pPr>
        <w:spacing w:after="200" w:line="276"/>
        <w:jc w:val="both"/>
      </w:pPr>
      <w:r>
        <w:rPr>
          <w:rFonts w:ascii="Georgia" w:cs="Georgia" w:eastAsia="Georgia" w:hAnsi="Georgia"/>
          <w:sz w:val="24"/>
          <w:szCs w:val="24"/>
        </w:rPr>
        <w:t xml:space="preserve">L'interopérabilité cognitivo-adaptative (ICA) se définit formellement par quatre propriétés : compréhension intentionnelle, adaptation dynamique, contextualisation continue et autonomie supervisée. Elle marque une évolution depuis l'interopérabilité technique vers une interopérabilité qui comprend et s'adapte en temps réel.</w:t>
      </w:r>
    </w:p>
    <w:p>
      <w:pPr>
        <w:spacing w:after="200" w:line="276"/>
        <w:jc w:val="both"/>
      </w:pPr>
      <w:r>
        <w:rPr>
          <w:rFonts w:ascii="Georgia" w:cs="Georgia" w:eastAsia="Georgia" w:hAnsi="Georgia"/>
          <w:sz w:val="24"/>
          <w:szCs w:val="24"/>
        </w:rPr>
        <w:t xml:space="preserve">Le Jumeau Numérique Cognitif (JNC) constitue l'architecture de référence avec ses trois couches : perception, cognition et action. Le cadre hybride résout la tension entre rationalité planifiée et intelligence émergente en combinant des invariants architecturaux stables avec des comportements adaptatifs à l'intérieur de ces limites.</w:t>
      </w:r>
    </w:p>
    <w:p>
      <w:r>
        <w:br w:type="page"/>
      </w:r>
    </w:p>
    <w:p>
      <w:pPr>
        <w:spacing w:before="400" w:after="300"/>
        <w:jc w:val="center"/>
      </w:pPr>
      <w:r>
        <w:rPr>
          <w:rFonts w:ascii="Arial" w:cs="Arial" w:eastAsia="Arial" w:hAnsi="Arial"/>
          <w:b/>
          <w:bCs/>
          <w:color w:val="444444"/>
          <w:sz w:val="32"/>
          <w:szCs w:val="32"/>
        </w:rPr>
        <w:t xml:space="preserve">FIN DE LA PARTIE 3</w:t>
      </w:r>
    </w:p>
    <w:p>
      <w:pPr>
        <w:spacing w:after="400"/>
        <w:jc w:val="center"/>
      </w:pPr>
      <w:r>
        <w:rPr>
          <w:rFonts w:ascii="Georgia" w:cs="Georgia" w:eastAsia="Georgia" w:hAnsi="Georgia"/>
          <w:sz w:val="28"/>
          <w:szCs w:val="28"/>
        </w:rPr>
        <w:t xml:space="preserve">◆ ◆ ◆</w:t>
      </w:r>
    </w:p>
    <w:p>
      <w:pPr>
        <w:spacing w:after="200" w:line="276"/>
        <w:jc w:val="both"/>
      </w:pPr>
      <w:r>
        <w:rPr>
          <w:rFonts w:ascii="Georgia" w:cs="Georgia" w:eastAsia="Georgia" w:hAnsi="Georgia"/>
          <w:b w:val="false"/>
          <w:bCs w:val="false"/>
          <w:i/>
          <w:iCs/>
          <w:sz w:val="24"/>
          <w:szCs w:val="24"/>
        </w:rPr>
        <w:t xml:space="preserve">La troisième partie a établi le cadre conceptuel de l'interopérabilité cognitive. Nous avons diagnostiqué les limites des ontologies, du MDM et des modèles canoniques. Nous avons montré comment l'intelligence artificielle transforme notre capacité d'adaptation. Nous avons formalisé l'interopérabilité cognitivo-adaptative comme nouveau paradigme.</w:t>
      </w:r>
    </w:p>
    <w:p>
      <w:pPr>
        <w:spacing w:after="200"/>
      </w:pPr>
    </w:p>
    <w:p>
      <w:pPr>
        <w:spacing w:after="200" w:line="276"/>
        <w:jc w:val="both"/>
      </w:pPr>
      <w:r>
        <w:rPr>
          <w:rFonts w:ascii="Georgia" w:cs="Georgia" w:eastAsia="Georgia" w:hAnsi="Georgia"/>
          <w:b w:val="false"/>
          <w:bCs w:val="false"/>
          <w:i/>
          <w:iCs/>
          <w:sz w:val="24"/>
          <w:szCs w:val="24"/>
        </w:rPr>
        <w:t xml:space="preserve">La quatrième partie, </w:t>
      </w:r>
      <w:r>
        <w:rPr>
          <w:rFonts w:ascii="Georgia" w:cs="Georgia" w:eastAsia="Georgia" w:hAnsi="Georgia"/>
          <w:b/>
          <w:bCs/>
          <w:i/>
          <w:iCs/>
          <w:sz w:val="24"/>
          <w:szCs w:val="24"/>
        </w:rPr>
        <w:t xml:space="preserve">L'Ère Agentique et Gouvernance</w:t>
      </w:r>
      <w:r>
        <w:rPr>
          <w:rFonts w:ascii="Georgia" w:cs="Georgia" w:eastAsia="Georgia" w:hAnsi="Georgia"/>
          <w:b w:val="false"/>
          <w:bCs w:val="false"/>
          <w:i/>
          <w:iCs/>
          <w:sz w:val="24"/>
          <w:szCs w:val="24"/>
        </w:rPr>
        <w:t xml:space="preserve">, constitue le cœur de cet ouvrage. Elle définira les agents cognitifs comme nouvelle unité de travail numérique, présentera le maillage agentique qui permet leur collaboration, et développera les pratiques d'ingénierie, de gouvernance et d'opérations nécessaires pour les déployer de manière fiable et éthique. L'architecte d'intentions et le cockpit du berger d'intention incarneront les nouveaux rôles humains dans cette organisation hybride.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Partie 3 : Interopérabilité Cognitive et Adaptative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a2a2a"/>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2026-01-11T02:37:29.048Z</dcterms:created>
  <dcterms:modified xsi:type="dcterms:W3CDTF">2026-01-11T02:37:29.049Z</dcterms:modified>
</cp:coreProperties>
</file>

<file path=docProps/custom.xml><?xml version="1.0" encoding="utf-8"?>
<Properties xmlns="http://schemas.openxmlformats.org/officeDocument/2006/custom-properties" xmlns:vt="http://schemas.openxmlformats.org/officeDocument/2006/docPropsVTypes"/>
</file>