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I.5</w:t>
      </w:r>
    </w:p>
    <w:p>
      <w:pPr>
        <w:pStyle w:val="Heading1"/>
        <w:spacing w:after="400"/>
        <w:jc w:val="center"/>
      </w:pPr>
      <w:r>
        <w:rPr>
          <w:rFonts w:ascii="Arial" w:cs="Arial" w:eastAsia="Arial" w:hAnsi="Arial"/>
          <w:b/>
          <w:bCs/>
          <w:sz w:val="36"/>
          <w:szCs w:val="36"/>
        </w:rPr>
        <w:t xml:space="preserve">Écosystème API : Protocoles Modernes et Stratégie Produit</w:t>
      </w:r>
    </w:p>
    <w:p>
      <w:pPr>
        <w:spacing w:before="200" w:after="400"/>
        <w:ind w:left="2880"/>
        <w:jc w:val="right"/>
      </w:pPr>
      <w:r>
        <w:rPr>
          <w:rFonts w:ascii="Georgia" w:cs="Georgia" w:eastAsia="Georgia" w:hAnsi="Georgia"/>
          <w:i/>
          <w:iCs/>
          <w:sz w:val="22"/>
          <w:szCs w:val="22"/>
        </w:rPr>
        <w:t xml:space="preserve">« Les API sont les nouveaux contrats sociaux du monde numérique. »
— Kin Lane, API Evangelist</w:t>
      </w:r>
    </w:p>
    <w:p>
      <w:pPr>
        <w:spacing w:after="200" w:line="276"/>
        <w:jc w:val="both"/>
      </w:pPr>
      <w:r>
        <w:rPr>
          <w:rFonts w:ascii="Georgia" w:cs="Georgia" w:eastAsia="Georgia" w:hAnsi="Georgia"/>
          <w:sz w:val="24"/>
          <w:szCs w:val="24"/>
        </w:rPr>
        <w:t xml:space="preserve">Le chapitre précédent a posé les principes de l'architecture réactive et introduit la symbiose entre API et événements. Ce chapitre approfondit le premier pilier de cette architecture : l'écosystème API. Les Application Programming Interfaces ne sont plus de simples mécanismes techniques d'intégration ; elles constituent désormais l'interface stratégique de l'entreprise, le langage par lequel elle expose ses capacités au monde extérieur et coordonne ses opérations internes.</w:t>
      </w:r>
    </w:p>
    <w:p>
      <w:pPr>
        <w:spacing w:after="200" w:line="276"/>
        <w:jc w:val="both"/>
      </w:pPr>
      <w:r>
        <w:rPr>
          <w:rFonts w:ascii="Georgia" w:cs="Georgia" w:eastAsia="Georgia" w:hAnsi="Georgia"/>
          <w:sz w:val="24"/>
          <w:szCs w:val="24"/>
        </w:rPr>
        <w:t xml:space="preserve">Nous examinerons d'abord le rôle stratégique des API dans l'entreprise moderne, puis nous analyserons les protocoles dominants — REST, GraphQL et gRPC — avec leurs forces respectives. Nous développerons ensuite le paradigme « API-as-a-Product » qui transforme la conception et la gestion des API. Enfin, nous explorerons les pratiques de gouvernance nécessaires pour maîtriser un écosystème API à l'échelle de l'entreprise.</w:t>
      </w:r>
    </w:p>
    <w:p>
      <w:pPr>
        <w:pStyle w:val="Heading2"/>
      </w:pPr>
      <w:r>
        <w:rPr>
          <w:rFonts w:ascii="Arial" w:cs="Arial" w:eastAsia="Arial" w:hAnsi="Arial"/>
          <w:b/>
          <w:bCs/>
        </w:rPr>
        <w:t xml:space="preserve">I.5.1 L'API comme Interface Stratégique de l'Entreprise</w:t>
      </w:r>
    </w:p>
    <w:p>
      <w:pPr>
        <w:spacing w:after="200" w:line="276"/>
        <w:jc w:val="both"/>
      </w:pPr>
      <w:r>
        <w:rPr>
          <w:rFonts w:ascii="Georgia" w:cs="Georgia" w:eastAsia="Georgia" w:hAnsi="Georgia"/>
          <w:sz w:val="24"/>
          <w:szCs w:val="24"/>
        </w:rPr>
        <w:t xml:space="preserve">La transformation d'Amazon illustre parfaitement le pouvoir stratégique des API. En 2002, Jeff Bezos a émis un mémorandum devenu légendaire exigeant que toutes les équipes exposent leurs données et fonctionnalités via des interfaces de service, que toutes les communications entre équipes passent par ces interfaces, et que ces interfaces soient conçues dès l'origine pour être exposables à l'extérieur. Cette décision, radicale à l'époque, a posé les fondations d'Amazon Web Services et transformé un détaillant en ligne en géant technologique.</w:t>
      </w:r>
    </w:p>
    <w:p>
      <w:pPr>
        <w:spacing w:after="200" w:line="276"/>
        <w:jc w:val="both"/>
      </w:pPr>
      <w:r>
        <w:rPr>
          <w:rFonts w:ascii="Georgia" w:cs="Georgia" w:eastAsia="Georgia" w:hAnsi="Georgia"/>
          <w:sz w:val="24"/>
          <w:szCs w:val="24"/>
        </w:rPr>
        <w:t xml:space="preserve">L'API constitue aujourd'hui un actif stratégique pour trois raisons fondamentales. Premièrement, elle permet l'économie de plateforme. Les entreprises qui exposent leurs capacités via API peuvent créer des écosystèmes où des partenaires, des développeurs tiers et des clients construisent de la valeur additionnelle. Stripe a bâti son empire sur une API de paiement élégante ; Twilio a révolutionné les communications ; Salesforce génère une part significative de sa valeur via son écosystème d'applications tierces.</w:t>
      </w:r>
    </w:p>
    <w:p>
      <w:pPr>
        <w:spacing w:after="200" w:line="276"/>
        <w:jc w:val="both"/>
      </w:pPr>
      <w:r>
        <w:rPr>
          <w:rFonts w:ascii="Georgia" w:cs="Georgia" w:eastAsia="Georgia" w:hAnsi="Georgia"/>
          <w:sz w:val="24"/>
          <w:szCs w:val="24"/>
        </w:rPr>
        <w:t xml:space="preserve">Deuxièmement, l'API accélère l'innovation interne. En découplant les systèmes via des interfaces bien définies, les équipes peuvent innover indépendamment sans coordination constante. Une équipe peut remplacer l'implémentation d'un service tant qu'elle respecte le contrat d'interface. Cette autonomie, au cœur du mouvement DevOps et des organisations produit, repose fondamentalement sur la qualité des API internes.</w:t>
      </w:r>
    </w:p>
    <w:p>
      <w:pPr>
        <w:spacing w:after="200" w:line="276"/>
        <w:jc w:val="both"/>
      </w:pPr>
      <w:r>
        <w:rPr>
          <w:rFonts w:ascii="Georgia" w:cs="Georgia" w:eastAsia="Georgia" w:hAnsi="Georgia"/>
          <w:sz w:val="24"/>
          <w:szCs w:val="24"/>
        </w:rPr>
        <w:t xml:space="preserve">Troisièmement, l'API prépare l'ère agentique. Les agents cognitifs que nous développerons dans la quatrième partie de ce volume interagissent avec les systèmes d'entreprise principalement via des API. Une organisation disposant d'un écosystème API mature — bien documenté, sécurisé, observable — sera en mesure de déployer des agents rapidement. Une organisation aux interfaces fragmentées et mal documentées devra d'abord rattraper ce retard architectural.</w:t>
      </w:r>
    </w:p>
    <w:p>
      <w:pPr>
        <w:pStyle w:val="Heading2"/>
      </w:pPr>
      <w:r>
        <w:rPr>
          <w:rFonts w:ascii="Arial" w:cs="Arial" w:eastAsia="Arial" w:hAnsi="Arial"/>
          <w:b/>
          <w:bCs/>
        </w:rPr>
        <w:t xml:space="preserve">I.5.2 Analyse Comparative des Protocoles Modernes</w:t>
      </w:r>
    </w:p>
    <w:p>
      <w:pPr>
        <w:spacing w:after="200" w:line="276"/>
        <w:jc w:val="both"/>
      </w:pPr>
      <w:r>
        <w:rPr>
          <w:rFonts w:ascii="Georgia" w:cs="Georgia" w:eastAsia="Georgia" w:hAnsi="Georgia"/>
          <w:sz w:val="24"/>
          <w:szCs w:val="24"/>
        </w:rPr>
        <w:t xml:space="preserve">Trois protocoles dominent aujourd'hui le paysage des API : REST, GraphQL et gRPC. Chacun répond à des besoins spécifiques et présente des compromis architecturaux distincts. Le choix du protocole approprié dépend du contexte d'utilisation, des contraintes de performance et de l'écosystème technologique.</w:t>
      </w:r>
    </w:p>
    <w:p>
      <w:pPr>
        <w:pStyle w:val="Heading3"/>
      </w:pPr>
      <w:r>
        <w:rPr>
          <w:rFonts w:ascii="Arial" w:cs="Arial" w:eastAsia="Arial" w:hAnsi="Arial"/>
          <w:b/>
          <w:bCs/>
        </w:rPr>
        <w:t xml:space="preserve">REST : L'Universalité du Web</w:t>
      </w:r>
    </w:p>
    <w:p>
      <w:pPr>
        <w:spacing w:after="200" w:line="276"/>
        <w:jc w:val="both"/>
      </w:pPr>
      <w:r>
        <w:rPr>
          <w:rFonts w:ascii="Georgia" w:cs="Georgia" w:eastAsia="Georgia" w:hAnsi="Georgia"/>
          <w:sz w:val="24"/>
          <w:szCs w:val="24"/>
        </w:rPr>
        <w:t xml:space="preserve">REST (Representational State Transfer), conceptualisé par Roy Fielding dans sa thèse de doctorat en 2000, s'est imposé comme le style architectural dominant pour les API Web. Sa force réside dans son alignement avec les principes du Web : utilisation des verbes HTTP (GET, POST, PUT, DELETE), identification des ressources par URI, communication sans état, et représentations multiples (JSON, XML). Cette adhérence aux standards du Web garantit une interopérabilité universelle.</w:t>
      </w:r>
    </w:p>
    <w:p>
      <w:pPr>
        <w:spacing w:after="200" w:line="276"/>
        <w:jc w:val="both"/>
      </w:pPr>
      <w:r>
        <w:rPr>
          <w:rFonts w:ascii="Georgia" w:cs="Georgia" w:eastAsia="Georgia" w:hAnsi="Georgia"/>
          <w:sz w:val="24"/>
          <w:szCs w:val="24"/>
        </w:rPr>
        <w:t xml:space="preserve">La spécification OpenAPI (anciennement Swagger) a standardisé la description des API REST. Un document OpenAPI définit les endpoints, les paramètres, les schémas de données et les codes de réponse d'une API de manière formelle et lisible par les machines. Cette spécification permet de générer automatiquement de la documentation, des SDK clients et des tests, réduisant considérablement le coût de développement et d'intégration.</w:t>
      </w:r>
    </w:p>
    <w:p>
      <w:pPr>
        <w:spacing w:after="200" w:line="276"/>
        <w:jc w:val="both"/>
      </w:pPr>
      <w:r>
        <w:rPr>
          <w:rFonts w:ascii="Georgia" w:cs="Georgia" w:eastAsia="Georgia" w:hAnsi="Georgia"/>
          <w:sz w:val="24"/>
          <w:szCs w:val="24"/>
        </w:rPr>
        <w:t xml:space="preserve">REST présente néanmoins des limitations. Le modèle de ressources peut devenir rigide lorsque les besoins du client ne correspondent pas au découpage prévu. Le problème du « over-fetching » (récupérer plus de données que nécessaire) et du « under-fetching » (devoir effectuer plusieurs requêtes pour obtenir toutes les données) affecte l'efficacité des applications mobiles et des interfaces riches. Ces limitations ont motivé l'émergence de GraphQL.</w:t>
      </w:r>
    </w:p>
    <w:p>
      <w:pPr>
        <w:pStyle w:val="Heading3"/>
      </w:pPr>
      <w:r>
        <w:rPr>
          <w:rFonts w:ascii="Arial" w:cs="Arial" w:eastAsia="Arial" w:hAnsi="Arial"/>
          <w:b/>
          <w:bCs/>
        </w:rPr>
        <w:t xml:space="preserve">GraphQL : La Flexibilité au Service du Client</w:t>
      </w:r>
    </w:p>
    <w:p>
      <w:pPr>
        <w:spacing w:after="200" w:line="276"/>
        <w:jc w:val="both"/>
      </w:pPr>
      <w:r>
        <w:rPr>
          <w:rFonts w:ascii="Georgia" w:cs="Georgia" w:eastAsia="Georgia" w:hAnsi="Georgia"/>
          <w:sz w:val="24"/>
          <w:szCs w:val="24"/>
        </w:rPr>
        <w:t xml:space="preserve">GraphQL, développé par Facebook et rendu public en 2015, propose un paradigme radicalement différent. Au lieu d'endpoints multiples retournant des structures fixes, GraphQL expose un point d'entrée unique où le client spécifie exactement les données qu'il souhaite recevoir. Le serveur retourne précisément ces données, ni plus ni moins, éliminant les problèmes d'over-fetching et d'under-fetching.</w:t>
      </w:r>
    </w:p>
    <w:p>
      <w:pPr>
        <w:spacing w:after="200" w:line="276"/>
        <w:jc w:val="both"/>
      </w:pPr>
      <w:r>
        <w:rPr>
          <w:rFonts w:ascii="Georgia" w:cs="Georgia" w:eastAsia="Georgia" w:hAnsi="Georgia"/>
          <w:sz w:val="24"/>
          <w:szCs w:val="24"/>
        </w:rPr>
        <w:t xml:space="preserve">Le système de types de GraphQL définit un schéma fortement typé qui sert à la fois de contrat et de documentation. Les clients peuvent introspecter ce schéma pour découvrir les capacités de l'API. Les outils de développement comme GraphiQL offrent une expérience d'exploration interactive. Cette approche « schema-first » favorise une conception rigoureuse et une évolution contrôlée des API.</w:t>
      </w:r>
    </w:p>
    <w:p>
      <w:pPr>
        <w:spacing w:after="200" w:line="276"/>
        <w:jc w:val="both"/>
      </w:pPr>
      <w:r>
        <w:rPr>
          <w:rFonts w:ascii="Georgia" w:cs="Georgia" w:eastAsia="Georgia" w:hAnsi="Georgia"/>
          <w:sz w:val="24"/>
          <w:szCs w:val="24"/>
        </w:rPr>
        <w:t xml:space="preserve">GraphQL excelle dans les contextes où les besoins des clients sont hétérogènes et évolutifs. Une application mobile peut demander un sous-ensemble minimal de données pour optimiser la bande passante, tandis qu'une application Web riche peut demander un graphe complet en une seule requête. Cette flexibilité a un coût : la complexité côté serveur augmente, et la mise en cache devient plus délicate que pour REST où chaque URL correspond à une ressource identifiable.</w:t>
      </w:r>
    </w:p>
    <w:p>
      <w:pPr>
        <w:pStyle w:val="Heading3"/>
      </w:pPr>
      <w:r>
        <w:rPr>
          <w:rFonts w:ascii="Arial" w:cs="Arial" w:eastAsia="Arial" w:hAnsi="Arial"/>
          <w:b/>
          <w:bCs/>
        </w:rPr>
        <w:t xml:space="preserve">gRPC : La Performance pour les Microservices</w:t>
      </w:r>
    </w:p>
    <w:p>
      <w:pPr>
        <w:spacing w:after="200" w:line="276"/>
        <w:jc w:val="both"/>
      </w:pPr>
      <w:r>
        <w:rPr>
          <w:rFonts w:ascii="Georgia" w:cs="Georgia" w:eastAsia="Georgia" w:hAnsi="Georgia"/>
          <w:sz w:val="24"/>
          <w:szCs w:val="24"/>
        </w:rPr>
        <w:t xml:space="preserve">gRPC, développé par Google et publié en 2015, optimise les communications entre services dans les architectures distribuées. Il utilise Protocol Buffers (protobuf) comme format de sérialisation binaire, nettement plus compact et rapide à parser que JSON. Le transport s'effectue sur HTTP/2, permettant le multiplexage, le streaming bidirectionnel et la compression des en-têtes.</w:t>
      </w:r>
    </w:p>
    <w:p>
      <w:pPr>
        <w:spacing w:after="200" w:line="276"/>
        <w:jc w:val="both"/>
      </w:pPr>
      <w:r>
        <w:rPr>
          <w:rFonts w:ascii="Georgia" w:cs="Georgia" w:eastAsia="Georgia" w:hAnsi="Georgia"/>
          <w:sz w:val="24"/>
          <w:szCs w:val="24"/>
        </w:rPr>
        <w:t xml:space="preserve">La définition des services en protobuf génère automatiquement le code client et serveur dans de nombreux langages. Cette génération garantit la cohérence entre les parties et élimine une classe entière d'erreurs d'intégration. Les types forts et la validation intégrée renforcent la fiabilité des échanges. Pour les communications internes entre microservices, gRPC offre des gains de performance significatifs par rapport à REST/JSON.</w:t>
      </w:r>
    </w:p>
    <w:p>
      <w:pPr>
        <w:spacing w:after="200" w:line="276"/>
        <w:jc w:val="both"/>
      </w:pPr>
      <w:r>
        <w:rPr>
          <w:rFonts w:ascii="Georgia" w:cs="Georgia" w:eastAsia="Georgia" w:hAnsi="Georgia"/>
          <w:sz w:val="24"/>
          <w:szCs w:val="24"/>
        </w:rPr>
        <w:t xml:space="preserve">gRPC convient moins aux API publiques exposées à des clients Web. Le format binaire n'est pas directement lisible par les navigateurs, et l'écosystème d'outils est moins riche que pour REST. Les organisations adoptent souvent une stratégie hybride : gRPC pour les communications internes entre services, REST ou GraphQL pour les API exposées aux clients externes et partenaires.</w:t>
      </w:r>
    </w:p>
    <w:p>
      <w:pPr>
        <w:spacing w:before="300" w:after="200"/>
      </w:pPr>
      <w:r>
        <w:rPr>
          <w:rFonts w:ascii="Arial" w:cs="Arial" w:eastAsia="Arial" w:hAnsi="Arial"/>
          <w:b/>
          <w:bCs/>
          <w:i/>
          <w:iCs/>
          <w:sz w:val="22"/>
          <w:szCs w:val="22"/>
        </w:rPr>
        <w:t xml:space="preserve">Tableau I.5.1 — Comparaison des Protocoles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Critère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REST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GraphQL</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gRPC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JSON/XML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Protobuf (binaire)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HTTP/1.1 ou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Optionnel (OpenAPI)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(schéma)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Fort (protobuf)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Moyenne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Élevée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Flexibilité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Élevée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 d'usage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publiques, CRUD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Apps mobiles, BFF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Microservices internes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Spécification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OpenAPI 3.x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GraphQL Spec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Protocol Buffers</w:t>
            </w:r>
          </w:p>
        </w:tc>
      </w:tr>
    </w:tbl>
    <w:p>
      <w:pPr>
        <w:pStyle w:val="Heading2"/>
        <w:spacing w:before="400"/>
      </w:pPr>
      <w:r>
        <w:rPr>
          <w:rFonts w:ascii="Arial" w:cs="Arial" w:eastAsia="Arial" w:hAnsi="Arial"/>
          <w:b/>
          <w:bCs/>
        </w:rPr>
        <w:t xml:space="preserve">I.5.3 Le Paradigme « API-as-a-Product »</w:t>
      </w:r>
    </w:p>
    <w:p>
      <w:pPr>
        <w:spacing w:after="200" w:line="276"/>
        <w:jc w:val="both"/>
      </w:pPr>
      <w:r>
        <w:rPr>
          <w:rFonts w:ascii="Georgia" w:cs="Georgia" w:eastAsia="Georgia" w:hAnsi="Georgia"/>
          <w:sz w:val="24"/>
          <w:szCs w:val="24"/>
        </w:rPr>
        <w:t xml:space="preserve">Le paradigme « API-as-a-Product » transforme la conception des API en leur appliquant les principes du management produit. Une API n'est plus un sous-produit technique d'un projet d'intégration ; elle devient un produit à part entière, avec ses utilisateurs, sa proposition de valeur, son cycle de vie et ses métriques de succès. Ce changement de perspective a des implications profondes sur la manière dont les organisations conçoivent, développent et opèrent leurs API.</w:t>
      </w:r>
    </w:p>
    <w:p>
      <w:pPr>
        <w:spacing w:after="200" w:line="276"/>
        <w:jc w:val="both"/>
      </w:pPr>
      <w:r>
        <w:rPr>
          <w:rFonts w:ascii="Georgia" w:cs="Georgia" w:eastAsia="Georgia" w:hAnsi="Georgia"/>
          <w:sz w:val="24"/>
          <w:szCs w:val="24"/>
        </w:rPr>
        <w:t xml:space="preserve">La première implication concerne la conception centrée sur l'utilisateur. Une API produit est conçue à partir des besoins de ses consommateurs — développeurs internes, partenaires, clients — plutôt qu'à partir des structures de données internes. Cette approche « outside-in » produit des API plus intuitives, mieux documentées et plus stables. Les contrats d'interface reflètent les cas d'usage métier plutôt que les accidents de l'implémentation.</w:t>
      </w:r>
    </w:p>
    <w:p>
      <w:pPr>
        <w:spacing w:after="200" w:line="276"/>
        <w:jc w:val="both"/>
      </w:pPr>
      <w:r>
        <w:rPr>
          <w:rFonts w:ascii="Georgia" w:cs="Georgia" w:eastAsia="Georgia" w:hAnsi="Georgia"/>
          <w:sz w:val="24"/>
          <w:szCs w:val="24"/>
        </w:rPr>
        <w:t xml:space="preserve">La deuxième implication concerne le cycle de vie. Une API produit suit un cycle de vie explicite : conception, développement, publication, évolution, dépréciation et retrait. Chaque phase est gérée consciemment avec des processus définis. Le versionnement sémantique (semver) communique clairement l'impact des changements. Les périodes de dépréciation donnent aux consommateurs le temps de migrer. Les métriques d'adoption guident les décisions d'évolution.</w:t>
      </w:r>
    </w:p>
    <w:p>
      <w:pPr>
        <w:spacing w:after="200" w:line="276"/>
        <w:jc w:val="both"/>
      </w:pPr>
      <w:r>
        <w:rPr>
          <w:rFonts w:ascii="Georgia" w:cs="Georgia" w:eastAsia="Georgia" w:hAnsi="Georgia"/>
          <w:sz w:val="24"/>
          <w:szCs w:val="24"/>
        </w:rPr>
        <w:t xml:space="preserve">La troisième implication concerne l'expérience développeur (Developer Experience ou DX). Comme tout produit, une API doit offrir une expérience utilisateur de qualité. La documentation interactive permet d'explorer l'API sans écrire de code. Les SDK générés dans les langages populaires accélèrent l'intégration. Les environnements sandbox permettent d'expérimenter sans risque. Les exemples de code et les tutoriels guident les premiers pas. Un portail développeur centralise ces ressources et crée une communauté autour de l'API.</w:t>
      </w:r>
    </w:p>
    <w:p>
      <w:pPr>
        <w:spacing w:after="200" w:line="276"/>
        <w:jc w:val="both"/>
      </w:pPr>
      <w:r>
        <w:rPr>
          <w:rFonts w:ascii="Georgia" w:cs="Georgia" w:eastAsia="Georgia" w:hAnsi="Georgia"/>
          <w:sz w:val="24"/>
          <w:szCs w:val="24"/>
        </w:rPr>
        <w:t xml:space="preserve">Plusieurs organisations ont institutionnalisé ce paradigme. Stripe est souvent citée comme référence pour la qualité de ses API et de sa documentation. Twilio a construit son succès sur une expérience développeur exceptionnelle. En interne, des entreprises comme Spotify ont créé des équipes produit dédiées aux API de plateforme, traitant les équipes de développement comme des clients à satisfaire.</w:t>
      </w:r>
    </w:p>
    <w:p>
      <w:pPr>
        <w:pStyle w:val="Heading2"/>
      </w:pPr>
      <w:r>
        <w:rPr>
          <w:rFonts w:ascii="Arial" w:cs="Arial" w:eastAsia="Arial" w:hAnsi="Arial"/>
          <w:b/>
          <w:bCs/>
        </w:rPr>
        <w:t xml:space="preserve">I.5.4 Gouvernance et Gestion des API (API Management)</w:t>
      </w:r>
    </w:p>
    <w:p>
      <w:pPr>
        <w:spacing w:after="200" w:line="276"/>
        <w:jc w:val="both"/>
      </w:pPr>
      <w:r>
        <w:rPr>
          <w:rFonts w:ascii="Georgia" w:cs="Georgia" w:eastAsia="Georgia" w:hAnsi="Georgia"/>
          <w:sz w:val="24"/>
          <w:szCs w:val="24"/>
        </w:rPr>
        <w:t xml:space="preserve">À mesure que l'écosystème API d'une organisation croît, la gouvernance devient critique. Sans gouvernance, les API prolifèrent de manière anarchique : conventions incohérentes, documentation manquante, sécurité variable, découvrabilité impossible. La gouvernance API établit les règles, les processus et les outils qui permettent de maintenir la qualité et la cohérence à l'échelle.</w:t>
      </w:r>
    </w:p>
    <w:p>
      <w:pPr>
        <w:spacing w:after="200" w:line="276"/>
        <w:jc w:val="both"/>
      </w:pPr>
      <w:r>
        <w:rPr>
          <w:rFonts w:ascii="Georgia" w:cs="Georgia" w:eastAsia="Georgia" w:hAnsi="Georgia"/>
          <w:sz w:val="24"/>
          <w:szCs w:val="24"/>
        </w:rPr>
        <w:t xml:space="preserve">Les standards de conception constituent le premier pilier de la gouvernance. Un guide de style API définit les conventions de nommage, les structures de réponse, la gestion des erreurs, les patterns de pagination et les pratiques de versionnement. Ces standards, appliqués de manière cohérente, créent une expérience unifiée pour les consommateurs et réduisent la charge cognitive des développeurs qui naviguent entre différentes API de l'organisation.</w:t>
      </w:r>
    </w:p>
    <w:p>
      <w:pPr>
        <w:spacing w:after="200" w:line="276"/>
        <w:jc w:val="both"/>
      </w:pPr>
      <w:r>
        <w:rPr>
          <w:rFonts w:ascii="Georgia" w:cs="Georgia" w:eastAsia="Georgia" w:hAnsi="Georgia"/>
          <w:sz w:val="24"/>
          <w:szCs w:val="24"/>
        </w:rPr>
        <w:t xml:space="preserve">La validation automatisée constitue le deuxième pilier. Les outils de linting vérifient la conformité des spécifications OpenAPI aux standards de l'organisation. Les pipelines CI/CD peuvent bloquer la publication d'API non conformes. Les tests de contrat garantissent que l'implémentation respecte la spécification. Cette automatisation déplace la gouvernance de la revue manuelle vers des garde-fous intégrés au processus de développement.</w:t>
      </w:r>
    </w:p>
    <w:p>
      <w:pPr>
        <w:spacing w:after="200" w:line="276"/>
        <w:jc w:val="both"/>
      </w:pPr>
      <w:r>
        <w:rPr>
          <w:rFonts w:ascii="Georgia" w:cs="Georgia" w:eastAsia="Georgia" w:hAnsi="Georgia"/>
          <w:sz w:val="24"/>
          <w:szCs w:val="24"/>
        </w:rPr>
        <w:t xml:space="preserve">Les plateformes d'API Management (APIM) fournissent l'infrastructure technique de la gouvernance. Elles offrent des fonctionnalités de passerelle (gateway) pour le routage, la sécurité et la limitation de débit ; un portail développeur pour la documentation et l'onboarding ; un catalogue pour la découvrabilité ; et des tableaux de bord analytiques pour le suivi de l'utilisation. Les solutions comme Kong, Apigee (Google Cloud), Azure API Management et AWS API Gateway dominent ce marché.</w:t>
      </w:r>
    </w:p>
    <w:p>
      <w:pPr>
        <w:spacing w:after="200" w:line="276"/>
        <w:jc w:val="both"/>
      </w:pPr>
      <w:r>
        <w:rPr>
          <w:rFonts w:ascii="Georgia" w:cs="Georgia" w:eastAsia="Georgia" w:hAnsi="Georgia"/>
          <w:sz w:val="24"/>
          <w:szCs w:val="24"/>
        </w:rPr>
        <w:t xml:space="preserve">La sécurité des API mérite une attention particulière. L'authentification vérifie l'identité du consommateur, typiquement via OAuth 2.0 ou des clés API. L'autorisation contrôle les actions permises à chaque consommateur. Le chiffrement TLS protège les données en transit. La limitation de débit (rate limiting) prévient les abus et les attaques par déni de service. La validation des entrées protège contre les injections. Ces mesures doivent être appliquées systématiquement, idéalement au niveau de la passerelle plutôt que dans chaque API individuellement.</w:t>
      </w:r>
    </w:p>
    <w:p>
      <w:pPr>
        <w:pStyle w:val="Heading2"/>
      </w:pPr>
      <w:r>
        <w:rPr>
          <w:rFonts w:ascii="Arial" w:cs="Arial" w:eastAsia="Arial" w:hAnsi="Arial"/>
          <w:b/>
          <w:bCs/>
        </w:rPr>
        <w:t xml:space="preserve">I.5.5 Conclusion : Maîtriser les Interactions Synchrones</w:t>
      </w:r>
    </w:p>
    <w:p>
      <w:pPr>
        <w:spacing w:after="200" w:line="276"/>
        <w:jc w:val="both"/>
      </w:pPr>
      <w:r>
        <w:rPr>
          <w:rFonts w:ascii="Georgia" w:cs="Georgia" w:eastAsia="Georgia" w:hAnsi="Georgia"/>
          <w:sz w:val="24"/>
          <w:szCs w:val="24"/>
        </w:rPr>
        <w:t xml:space="preserve">L'écosystème API constitue le premier pilier de l'architecture réactive. Les API exposent les capacités de l'entreprise sous forme de services invocables, créant l'interface par laquelle les systèmes, les partenaires et bientôt les agents cognitifs interagissent avec l'organisation. La maîtrise de cet écosystème — choix des protocoles appropriés, adoption du paradigme produit, mise en place d'une gouvernance efficace — conditionne la capacité de l'entreprise à évoluer dans l'économie numérique.</w:t>
      </w:r>
    </w:p>
    <w:p>
      <w:pPr>
        <w:spacing w:after="200" w:line="276"/>
        <w:jc w:val="both"/>
      </w:pPr>
      <w:r>
        <w:rPr>
          <w:rFonts w:ascii="Georgia" w:cs="Georgia" w:eastAsia="Georgia" w:hAnsi="Georgia"/>
          <w:sz w:val="24"/>
          <w:szCs w:val="24"/>
        </w:rPr>
        <w:t xml:space="preserve">Le choix entre REST, GraphQL et gRPC n'est pas exclusif. Les organisations matures adoptent une stratégie multi-protocole : REST pour les API publiques et les intégrations simples, GraphQL pour les interfaces riches et les applications mobiles, gRPC pour les communications haute performance entre microservices. L'important est d'aligner le choix du protocole avec les besoins réels plutôt que de suivre les modes technologiques.</w:t>
      </w:r>
    </w:p>
    <w:p>
      <w:pPr>
        <w:spacing w:after="200" w:line="276"/>
        <w:jc w:val="both"/>
      </w:pPr>
      <w:r>
        <w:rPr>
          <w:rFonts w:ascii="Georgia" w:cs="Georgia" w:eastAsia="Georgia" w:hAnsi="Georgia"/>
          <w:sz w:val="24"/>
          <w:szCs w:val="24"/>
        </w:rPr>
        <w:t xml:space="preserve">Le chapitre suivant développera le second pilier de l'architecture réactive : l'architecture orientée événements. Nous y découvrirons comment Apache Kafka et les plateformes de streaming permettent de construire des systèmes véritablement réactifs, capables de traiter des millions d'événements par seconde tout en préservant le découplage entre producteurs et consommateurs.</w:t>
      </w:r>
    </w:p>
    <w:p>
      <w:pPr>
        <w:pStyle w:val="Heading2"/>
      </w:pPr>
      <w:r>
        <w:rPr>
          <w:rFonts w:ascii="Arial" w:cs="Arial" w:eastAsia="Arial" w:hAnsi="Arial"/>
          <w:b/>
          <w:bCs/>
        </w:rPr>
        <w:t xml:space="preserve">I.5.6 Résumé</w:t>
      </w:r>
    </w:p>
    <w:p>
      <w:pPr>
        <w:spacing w:after="200" w:line="276"/>
        <w:jc w:val="both"/>
      </w:pPr>
      <w:r>
        <w:rPr>
          <w:rFonts w:ascii="Georgia" w:cs="Georgia" w:eastAsia="Georgia" w:hAnsi="Georgia"/>
          <w:sz w:val="24"/>
          <w:szCs w:val="24"/>
        </w:rPr>
        <w:t xml:space="preserve">Les API constituent l'interface stratégique de l'entreprise moderne, permettant l'économie de plateforme, accélérant l'innovation interne et préparant l'ère agentique. L'exemple d'Amazon illustre comment une stratégie API peut transformer fondamentalement un modèle d'affaires.</w:t>
      </w:r>
    </w:p>
    <w:p>
      <w:pPr>
        <w:spacing w:after="200" w:line="276"/>
        <w:jc w:val="both"/>
      </w:pPr>
      <w:r>
        <w:rPr>
          <w:rFonts w:ascii="Georgia" w:cs="Georgia" w:eastAsia="Georgia" w:hAnsi="Georgia"/>
          <w:sz w:val="24"/>
          <w:szCs w:val="24"/>
        </w:rPr>
        <w:t xml:space="preserve">Trois protocoles dominent l'écosystème : REST offre l'universalité et s'appuie sur la spécification OpenAPI ; GraphQL apporte la flexibilité avec son approche centrée sur le client ; gRPC optimise les performances pour les communications entre microservices. Le choix dépend du contexte et les organisations matures combinent ces protocoles selon les besoins.</w:t>
      </w:r>
    </w:p>
    <w:p>
      <w:pPr>
        <w:spacing w:after="200" w:line="276"/>
        <w:jc w:val="both"/>
      </w:pPr>
      <w:r>
        <w:rPr>
          <w:rFonts w:ascii="Georgia" w:cs="Georgia" w:eastAsia="Georgia" w:hAnsi="Georgia"/>
          <w:sz w:val="24"/>
          <w:szCs w:val="24"/>
        </w:rPr>
        <w:t xml:space="preserve">Le paradigme « API-as-a-Product » transforme les API en produits à part entière, avec une conception centrée utilisateur, un cycle de vie explicite et une attention particulière à l'expérience développeur. La gouvernance API — standards, validation automatisée, plateformes APIM, sécurité — permet de maintenir la qualité et la cohérence à l'échelle de l'entreprise.</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Architecture Orientée Événements (EDA) et le Maillage d'Événements</w:t>
      </w:r>
      <w:r>
        <w:rPr>
          <w:rFonts w:ascii="Georgia" w:cs="Georgia" w:eastAsia="Georgia" w:hAnsi="Georgia"/>
          <w:b w:val="false"/>
          <w:bCs w:val="false"/>
          <w:i/>
          <w:iCs/>
          <w:sz w:val="24"/>
          <w:szCs w:val="24"/>
        </w:rPr>
        <w:t xml:space="preserve">, développe le second pilier de l'architecture réactive. Nous y explorerons les concepts fondamentaux du streaming de données avec Apache Kafka et Confluent, la spécification AsyncAPI pour la documentation des interfaces asynchrones, et l'évolution vers les architectures event-native où l'événement devient la primitive fondamentale du système d'information.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2 : Architecture Réactive et Écosystème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2026-01-11T02:02:41.892Z</dcterms:created>
  <dcterms:modified xsi:type="dcterms:W3CDTF">2026-01-11T02:02:41.893Z</dcterms:modified>
</cp:coreProperties>
</file>

<file path=docProps/custom.xml><?xml version="1.0" encoding="utf-8"?>
<Properties xmlns="http://schemas.openxmlformats.org/officeDocument/2006/custom-properties" xmlns:vt="http://schemas.openxmlformats.org/officeDocument/2006/docPropsVTypes"/>
</file>