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8"/>
          <w:szCs w:val="28"/>
        </w:rPr>
        <w:t xml:space="preserve">CHAPITRE I.6</w:t>
      </w:r>
    </w:p>
    <w:p>
      <w:pPr>
        <w:pStyle w:val="Heading1"/>
        <w:spacing w:after="400"/>
        <w:jc w:val="center"/>
      </w:pPr>
      <w:r>
        <w:rPr>
          <w:rFonts w:ascii="Arial" w:cs="Arial" w:eastAsia="Arial" w:hAnsi="Arial"/>
          <w:b/>
          <w:bCs/>
          <w:sz w:val="36"/>
          <w:szCs w:val="36"/>
        </w:rPr>
        <w:t xml:space="preserve">Architecture Orientée Événements (EDA) et le Maillage d'Événements</w:t>
      </w:r>
    </w:p>
    <w:p>
      <w:pPr>
        <w:spacing w:before="200" w:after="400"/>
        <w:ind w:left="2880"/>
        <w:jc w:val="right"/>
      </w:pPr>
      <w:r>
        <w:rPr>
          <w:rFonts w:ascii="Georgia" w:cs="Georgia" w:eastAsia="Georgia" w:hAnsi="Georgia"/>
          <w:i/>
          <w:iCs/>
          <w:sz w:val="22"/>
          <w:szCs w:val="22"/>
        </w:rPr>
        <w:t xml:space="preserve">« Dans un monde événementiel, la donnée ne dort jamais. Elle circule, se transforme et crée de la valeur en mouvement. »
— Jay Kreps, Co-fondateur de Confluent</w:t>
      </w:r>
    </w:p>
    <w:p>
      <w:pPr>
        <w:spacing w:after="200" w:line="276"/>
        <w:jc w:val="both"/>
      </w:pPr>
      <w:r>
        <w:rPr>
          <w:rFonts w:ascii="Georgia" w:cs="Georgia" w:eastAsia="Georgia" w:hAnsi="Georgia"/>
          <w:sz w:val="24"/>
          <w:szCs w:val="24"/>
        </w:rPr>
        <w:t xml:space="preserve">Le chapitre précédent a développé l'écosystème API comme premier pilier de l'architecture réactive. Ce chapitre explore le second pilier, peut-être le plus transformateur : l'architecture orientée événements (Event-Driven Architecture ou EDA). Là où les API permettent des interactions synchrones de type requête-réponse, l'EDA permet aux systèmes de réagir en temps réel aux événements métier, créant une conscience situationnelle qui constitue le fondement de l'entreprise agentique.</w:t>
      </w:r>
    </w:p>
    <w:p>
      <w:pPr>
        <w:spacing w:after="200" w:line="276"/>
        <w:jc w:val="both"/>
      </w:pPr>
      <w:r>
        <w:rPr>
          <w:rFonts w:ascii="Georgia" w:cs="Georgia" w:eastAsia="Georgia" w:hAnsi="Georgia"/>
          <w:sz w:val="24"/>
          <w:szCs w:val="24"/>
        </w:rPr>
        <w:t xml:space="preserve">Nous examinerons d'abord les principes fondamentaux du paradigme EDA et ses avantages architecturaux. Nous plongerons ensuite dans les concepts du streaming de données avec Apache Kafka et la plateforme Confluent, technologies qui ont révolutionné le traitement événementiel à l'échelle. Nous présenterons AsyncAPI comme standard de documentation des interfaces asynchrones. Nous explorerons l'évolution vers les architectures « event-native » et conclurons avec le concept de maillage d'événements (Event Mesh) qui étend l'EDA à l'échelle de l'entreprise.</w:t>
      </w:r>
    </w:p>
    <w:p>
      <w:pPr>
        <w:pStyle w:val="Heading2"/>
      </w:pPr>
      <w:r>
        <w:rPr>
          <w:rFonts w:ascii="Arial" w:cs="Arial" w:eastAsia="Arial" w:hAnsi="Arial"/>
          <w:b/>
          <w:bCs/>
        </w:rPr>
        <w:t xml:space="preserve">I.6.1 Le Paradigme EDA : Découplage, Réactivité et Conscience Situationnelle</w:t>
      </w:r>
    </w:p>
    <w:p>
      <w:pPr>
        <w:spacing w:after="200" w:line="276"/>
        <w:jc w:val="both"/>
      </w:pPr>
      <w:r>
        <w:rPr>
          <w:rFonts w:ascii="Georgia" w:cs="Georgia" w:eastAsia="Georgia" w:hAnsi="Georgia"/>
          <w:sz w:val="24"/>
          <w:szCs w:val="24"/>
        </w:rPr>
        <w:t xml:space="preserve">Un événement représente un fait qui s'est produit : une commande a été passée, un paiement a été reçu, un capteur a détecté une anomalie, un utilisateur a cliqué sur un bouton. Contrairement à une requête qui demande une action, un événement notifie que quelque chose est arrivé. Cette distinction apparemment subtile a des implications architecturales profondes.</w:t>
      </w:r>
    </w:p>
    <w:p>
      <w:pPr>
        <w:spacing w:after="200" w:line="276"/>
        <w:jc w:val="both"/>
      </w:pPr>
      <w:r>
        <w:rPr>
          <w:rFonts w:ascii="Georgia" w:cs="Georgia" w:eastAsia="Georgia" w:hAnsi="Georgia"/>
          <w:sz w:val="24"/>
          <w:szCs w:val="24"/>
        </w:rPr>
        <w:t xml:space="preserve">Dans une architecture traditionnelle basée sur les requêtes, le système émetteur doit connaître les systèmes destinataires et attendre leur réponse. Ce couplage crée des dépendances rigides : si un destinataire est indisponible, l'émetteur est bloqué ; si de nouveaux destinataires doivent être ajoutés, l'émetteur doit être modifié. Dans une architecture événementielle, l'émetteur publie un événement sans se soucier de qui le consomme. Les consommateurs s'abonnent aux événements qui les intéressent et les traitent selon leur propre rythme.</w:t>
      </w:r>
    </w:p>
    <w:p>
      <w:pPr>
        <w:spacing w:after="200" w:line="276"/>
        <w:jc w:val="both"/>
      </w:pPr>
      <w:r>
        <w:rPr>
          <w:rFonts w:ascii="Georgia" w:cs="Georgia" w:eastAsia="Georgia" w:hAnsi="Georgia"/>
          <w:sz w:val="24"/>
          <w:szCs w:val="24"/>
        </w:rPr>
        <w:t xml:space="preserve">Ce découplage apporte trois avantages majeurs. Le premier est l'autonomie : les producteurs et consommateurs évoluent indépendamment. Un nouveau système peut s'abonner aux événements existants sans modification du producteur. Un producteur peut enrichir les événements sans impacter les consommateurs qui n'utilisent pas les nouveaux champs. Cette autonomie accélère l'innovation et réduit la coordination entre équipes.</w:t>
      </w:r>
    </w:p>
    <w:p>
      <w:pPr>
        <w:spacing w:after="200" w:line="276"/>
        <w:jc w:val="both"/>
      </w:pPr>
      <w:r>
        <w:rPr>
          <w:rFonts w:ascii="Georgia" w:cs="Georgia" w:eastAsia="Georgia" w:hAnsi="Georgia"/>
          <w:sz w:val="24"/>
          <w:szCs w:val="24"/>
        </w:rPr>
        <w:t xml:space="preserve">Le deuxième avantage est la résilience. Les événements peuvent être persistés dans un broker (courtier de messages) qui absorbe les pics de charge et préserve les messages si un consommateur est temporairement indisponible. Lorsque le consommateur revient en ligne, il reprend le traitement là où il s'était arrêté. Cette persistance transforme les communications éphémères en un journal durable des événements métier.</w:t>
      </w:r>
    </w:p>
    <w:p>
      <w:pPr>
        <w:spacing w:after="200" w:line="276"/>
        <w:jc w:val="both"/>
      </w:pPr>
      <w:r>
        <w:rPr>
          <w:rFonts w:ascii="Georgia" w:cs="Georgia" w:eastAsia="Georgia" w:hAnsi="Georgia"/>
          <w:sz w:val="24"/>
          <w:szCs w:val="24"/>
        </w:rPr>
        <w:t xml:space="preserve">Le troisième avantage est la conscience situationnelle. En capturant les événements significatifs de l'entreprise dans des flux temps réel, l'EDA crée une image vivante de ce qui se passe à chaque instant. Cette conscience permet des réactions immédiates — détection de fraude, personnalisation en temps réel, optimisation dynamique — impossibles avec des architectures batch qui découvrent les événements après coup.</w:t>
      </w:r>
    </w:p>
    <w:p>
      <w:pPr>
        <w:pStyle w:val="Heading2"/>
      </w:pPr>
      <w:r>
        <w:rPr>
          <w:rFonts w:ascii="Arial" w:cs="Arial" w:eastAsia="Arial" w:hAnsi="Arial"/>
          <w:b/>
          <w:bCs/>
        </w:rPr>
        <w:t xml:space="preserve">I.6.2 Concepts Fondamentaux du Streaming de Données (Kafka/Confluent)</w:t>
      </w:r>
    </w:p>
    <w:p>
      <w:pPr>
        <w:spacing w:after="200" w:line="276"/>
        <w:jc w:val="both"/>
      </w:pPr>
      <w:r>
        <w:rPr>
          <w:rFonts w:ascii="Georgia" w:cs="Georgia" w:eastAsia="Georgia" w:hAnsi="Georgia"/>
          <w:sz w:val="24"/>
          <w:szCs w:val="24"/>
        </w:rPr>
        <w:t xml:space="preserve">Apache Kafka, créé par LinkedIn en 2011 et devenu projet Apache en 2012, a révolutionné l'architecture événementielle en introduisant le concept de log distribué. Contrairement aux systèmes de messagerie traditionnels qui suppriment les messages après consommation, Kafka conserve les événements dans un journal immuable, ordonné et répliqué. Cette approche, inspirée des journaux de transactions des bases de données, apporte des propriétés uniques.</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topic</w:t>
      </w:r>
      <w:r>
        <w:rPr>
          <w:rFonts w:ascii="Georgia" w:cs="Georgia" w:eastAsia="Georgia" w:hAnsi="Georgia"/>
          <w:b w:val="false"/>
          <w:bCs w:val="false"/>
          <w:i w:val="false"/>
          <w:iCs w:val="false"/>
          <w:sz w:val="24"/>
          <w:szCs w:val="24"/>
        </w:rPr>
        <w:t xml:space="preserve"> constitue l'unité d'organisation des événements dans Kafka. Il représente un flux logique d'événements liés — commandes, paiements, clics utilisateur. Chaque topic est divisé en </w:t>
      </w:r>
      <w:r>
        <w:rPr>
          <w:rFonts w:ascii="Georgia" w:cs="Georgia" w:eastAsia="Georgia" w:hAnsi="Georgia"/>
          <w:b/>
          <w:bCs/>
          <w:i/>
          <w:iCs/>
          <w:sz w:val="24"/>
          <w:szCs w:val="24"/>
        </w:rPr>
        <w:t xml:space="preserve">partitions</w:t>
      </w:r>
      <w:r>
        <w:rPr>
          <w:rFonts w:ascii="Georgia" w:cs="Georgia" w:eastAsia="Georgia" w:hAnsi="Georgia"/>
          <w:b w:val="false"/>
          <w:bCs w:val="false"/>
          <w:i w:val="false"/>
          <w:iCs w:val="false"/>
          <w:sz w:val="24"/>
          <w:szCs w:val="24"/>
        </w:rPr>
        <w:t xml:space="preserve">, unités de parallélisme qui permettent de distribuer la charge entre plusieurs serveurs. Les événements d'une même clé (par exemple, tous les événements d'un même client) sont garantis d'arriver dans la même partition, préservant leur ordre.</w:t>
      </w:r>
    </w:p>
    <w:p>
      <w:pPr>
        <w:spacing w:after="200" w:line="276"/>
        <w:jc w:val="both"/>
      </w:pPr>
      <w:r>
        <w:rPr>
          <w:rFonts w:ascii="Georgia" w:cs="Georgia" w:eastAsia="Georgia" w:hAnsi="Georgia"/>
          <w:b w:val="false"/>
          <w:bCs w:val="false"/>
          <w:i w:val="false"/>
          <w:iCs w:val="false"/>
          <w:sz w:val="24"/>
          <w:szCs w:val="24"/>
        </w:rPr>
        <w:t xml:space="preserve">Les </w:t>
      </w:r>
      <w:r>
        <w:rPr>
          <w:rFonts w:ascii="Georgia" w:cs="Georgia" w:eastAsia="Georgia" w:hAnsi="Georgia"/>
          <w:b/>
          <w:bCs/>
          <w:i/>
          <w:iCs/>
          <w:sz w:val="24"/>
          <w:szCs w:val="24"/>
        </w:rPr>
        <w:t xml:space="preserve">producteurs</w:t>
      </w:r>
      <w:r>
        <w:rPr>
          <w:rFonts w:ascii="Georgia" w:cs="Georgia" w:eastAsia="Georgia" w:hAnsi="Georgia"/>
          <w:b w:val="false"/>
          <w:bCs w:val="false"/>
          <w:i w:val="false"/>
          <w:iCs w:val="false"/>
          <w:sz w:val="24"/>
          <w:szCs w:val="24"/>
        </w:rPr>
        <w:t xml:space="preserve"> publient des événements dans les topics. Les </w:t>
      </w:r>
      <w:r>
        <w:rPr>
          <w:rFonts w:ascii="Georgia" w:cs="Georgia" w:eastAsia="Georgia" w:hAnsi="Georgia"/>
          <w:b/>
          <w:bCs/>
          <w:i/>
          <w:iCs/>
          <w:sz w:val="24"/>
          <w:szCs w:val="24"/>
        </w:rPr>
        <w:t xml:space="preserve">consommateurs</w:t>
      </w:r>
      <w:r>
        <w:rPr>
          <w:rFonts w:ascii="Georgia" w:cs="Georgia" w:eastAsia="Georgia" w:hAnsi="Georgia"/>
          <w:b w:val="false"/>
          <w:bCs w:val="false"/>
          <w:i w:val="false"/>
          <w:iCs w:val="false"/>
          <w:sz w:val="24"/>
          <w:szCs w:val="24"/>
        </w:rPr>
        <w:t xml:space="preserve"> s'abonnent aux topics et traitent les événements. Un concept clé est le </w:t>
      </w:r>
      <w:r>
        <w:rPr>
          <w:rFonts w:ascii="Georgia" w:cs="Georgia" w:eastAsia="Georgia" w:hAnsi="Georgia"/>
          <w:b/>
          <w:bCs/>
          <w:i/>
          <w:iCs/>
          <w:sz w:val="24"/>
          <w:szCs w:val="24"/>
        </w:rPr>
        <w:t xml:space="preserve">groupe de consommateurs</w:t>
      </w:r>
      <w:r>
        <w:rPr>
          <w:rFonts w:ascii="Georgia" w:cs="Georgia" w:eastAsia="Georgia" w:hAnsi="Georgia"/>
          <w:b w:val="false"/>
          <w:bCs w:val="false"/>
          <w:i w:val="false"/>
          <w:iCs w:val="false"/>
          <w:sz w:val="24"/>
          <w:szCs w:val="24"/>
        </w:rPr>
        <w:t xml:space="preserve"> : les consommateurs d'un même groupe se répartissent les partitions, permettant un traitement parallèle. Plusieurs groupes peuvent consommer indépendamment le même topic, chacun maintenant sa propre position de lecture (</w:t>
      </w:r>
      <w:r>
        <w:rPr>
          <w:rFonts w:ascii="Georgia" w:cs="Georgia" w:eastAsia="Georgia" w:hAnsi="Georgia"/>
          <w:b/>
          <w:bCs/>
          <w:i/>
          <w:iCs/>
          <w:sz w:val="24"/>
          <w:szCs w:val="24"/>
        </w:rPr>
        <w:t xml:space="preserve">offset</w:t>
      </w:r>
      <w:r>
        <w:rPr>
          <w:rFonts w:ascii="Georgia" w:cs="Georgia" w:eastAsia="Georgia" w:hAnsi="Georgia"/>
          <w:b w:val="false"/>
          <w:bCs w:val="false"/>
          <w:i w:val="false"/>
          <w:iCs w:val="false"/>
          <w:sz w:val="24"/>
          <w:szCs w:val="24"/>
        </w:rPr>
        <w:t xml:space="preserve">).</w:t>
      </w:r>
    </w:p>
    <w:p>
      <w:pPr>
        <w:spacing w:after="200" w:line="276"/>
        <w:jc w:val="both"/>
      </w:pPr>
      <w:r>
        <w:rPr>
          <w:rFonts w:ascii="Georgia" w:cs="Georgia" w:eastAsia="Georgia" w:hAnsi="Georgia"/>
          <w:sz w:val="24"/>
          <w:szCs w:val="24"/>
        </w:rPr>
        <w:t xml:space="preserve">La rétention configurable des événements distingue Kafka des files de messages traditionnelles. Un événement peut être conservé pendant des heures, des jours, voire indéfiniment. Cette rétention permet le « replay » : un nouveau consommateur peut remonter dans l'historique pour reconstruire son état ou retraiter des événements après correction d'un bug. Elle permet également l'analytique temps réel sur des fenêtres temporelles étendues.</w:t>
      </w:r>
    </w:p>
    <w:p>
      <w:pPr>
        <w:spacing w:after="200" w:line="276"/>
        <w:jc w:val="both"/>
      </w:pPr>
      <w:r>
        <w:rPr>
          <w:rFonts w:ascii="Georgia" w:cs="Georgia" w:eastAsia="Georgia" w:hAnsi="Georgia"/>
          <w:sz w:val="24"/>
          <w:szCs w:val="24"/>
        </w:rPr>
        <w:t xml:space="preserve">Confluent, fondée en 2014 par les créateurs de Kafka (Jay Kreps, Neha Narkhede et Jun Rao), a développé une plateforme complète autour de Kafka. Confluent Platform ajoute des composants essentiels : Schema Registry pour la gouvernance des schémas, ksqlDB pour le traitement de flux en SQL, Kafka Connect pour l'intégration avec les systèmes externes, et Control Center pour l'administration et le monitoring. Confluent Cloud offre ces capacités en service géré, éliminant la complexité opérationnelle de Kafka.</w:t>
      </w:r>
    </w:p>
    <w:p>
      <w:pPr>
        <w:spacing w:before="300" w:after="200"/>
      </w:pPr>
      <w:r>
        <w:rPr>
          <w:rFonts w:ascii="Arial" w:cs="Arial" w:eastAsia="Arial" w:hAnsi="Arial"/>
          <w:b/>
          <w:bCs/>
          <w:i/>
          <w:iCs/>
          <w:sz w:val="22"/>
          <w:szCs w:val="22"/>
        </w:rPr>
        <w:t xml:space="preserve">Tableau I.6.1 — Concepts Fondamentaux de Kafka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Concept</w:t>
            </w:r>
          </w:p>
        </w:tc>
        <w:tc>
          <w:tcPr>
            <w:tcW w:type="dxa" w:w="6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Flux logique d'événements, catégorie de messages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Sous-division d'un topic pour parallélisme et ordre garanti par clé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 d'un événement dans une partition, identifiant unique et séquentiel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qui publie des événements dans un topic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Consumer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qui lit des événements d'un topic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Consumer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Ensemble de consommateurs partageant la charge d'un topic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Broker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Serveur Kafka stockant les partitions et servant les requêtes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Retention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Durée de conservation des événements (configurable par topic)</w:t>
            </w:r>
          </w:p>
        </w:tc>
      </w:tr>
    </w:tbl>
    <w:p>
      <w:pPr>
        <w:pStyle w:val="Heading2"/>
        <w:spacing w:before="400"/>
      </w:pPr>
      <w:r>
        <w:rPr>
          <w:rFonts w:ascii="Arial" w:cs="Arial" w:eastAsia="Arial" w:hAnsi="Arial"/>
          <w:b/>
          <w:bCs/>
        </w:rPr>
        <w:t xml:space="preserve">I.6.3 Modélisation des Interactions Asynchrones avec AsyncAPI</w:t>
      </w:r>
    </w:p>
    <w:p>
      <w:pPr>
        <w:spacing w:after="200" w:line="276"/>
        <w:jc w:val="both"/>
      </w:pPr>
      <w:r>
        <w:rPr>
          <w:rFonts w:ascii="Georgia" w:cs="Georgia" w:eastAsia="Georgia" w:hAnsi="Georgia"/>
          <w:sz w:val="24"/>
          <w:szCs w:val="24"/>
        </w:rPr>
        <w:t xml:space="preserve">Tout comme OpenAPI a standardisé la description des API REST, AsyncAPI standardise la description des interfaces asynchrones événementielles. Créée en 2017, cette spécification permet de documenter formellement les canaux de communication, les formats de messages et les protocoles utilisés. Cette standardisation comble un vide critique : les architectures événementielles souffraient souvent d'une documentation fragmentaire qui rendait leur compréhension et leur intégration difficiles.</w:t>
      </w:r>
    </w:p>
    <w:p>
      <w:pPr>
        <w:spacing w:after="200" w:line="276"/>
        <w:jc w:val="both"/>
      </w:pPr>
      <w:r>
        <w:rPr>
          <w:rFonts w:ascii="Georgia" w:cs="Georgia" w:eastAsia="Georgia" w:hAnsi="Georgia"/>
          <w:sz w:val="24"/>
          <w:szCs w:val="24"/>
        </w:rPr>
        <w:t xml:space="preserve">Un document AsyncAPI décrit plusieurs éléments clés. Les channels identifient les flux d'événements disponibles — équivalents des topics Kafka ou des queues de messages. Pour chaque canal, la spécification indique si l'application publie (publish) ou s'abonne (subscribe). Les messages définissent la structure des événements avec leurs schémas JSON ou Avro. Les bindings précisent les configurations spécifiques au protocole utilisé (Kafka, AMQP, WebSocket).</w:t>
      </w:r>
    </w:p>
    <w:p>
      <w:pPr>
        <w:spacing w:after="200" w:line="276"/>
        <w:jc w:val="both"/>
      </w:pPr>
      <w:r>
        <w:rPr>
          <w:rFonts w:ascii="Georgia" w:cs="Georgia" w:eastAsia="Georgia" w:hAnsi="Georgia"/>
          <w:sz w:val="24"/>
          <w:szCs w:val="24"/>
        </w:rPr>
        <w:t xml:space="preserve">L'écosystème d'outils AsyncAPI accélère le développement. Les générateurs produisent automatiquement de la documentation HTML interactive, des SDK clients et des squelettes de code serveur. Les validateurs vérifient la conformité des documents. Le Studio AsyncAPI offre un environnement d'édition visuel. Cette outillage reproduit pour les événements les bénéfices que Swagger/OpenAPI a apportés aux API REST.</w:t>
      </w:r>
    </w:p>
    <w:p>
      <w:pPr>
        <w:spacing w:after="200" w:line="276"/>
        <w:jc w:val="both"/>
      </w:pPr>
      <w:r>
        <w:rPr>
          <w:rFonts w:ascii="Georgia" w:cs="Georgia" w:eastAsia="Georgia" w:hAnsi="Georgia"/>
          <w:sz w:val="24"/>
          <w:szCs w:val="24"/>
        </w:rPr>
        <w:t xml:space="preserve">L'adoption d'AsyncAPI facilite la gouvernance des architectures événementielles. Un catalogue central peut référencer toutes les spécifications AsyncAPI de l'organisation, créant un inventaire découvrable des événements disponibles. Les équipes peuvent explorer ce catalogue pour identifier les événements existants plutôt que d'en créer de nouveaux. Les contrats formalisés permettent de détecter les changements incompatibles avant qu'ils n'impactent les consommateurs.</w:t>
      </w:r>
    </w:p>
    <w:p>
      <w:pPr>
        <w:pStyle w:val="Heading2"/>
      </w:pPr>
      <w:r>
        <w:rPr>
          <w:rFonts w:ascii="Arial" w:cs="Arial" w:eastAsia="Arial" w:hAnsi="Arial"/>
          <w:b/>
          <w:bCs/>
        </w:rPr>
        <w:t xml:space="preserve">I.6.4 L'Évolution vers les Architectures Event-Native</w:t>
      </w:r>
    </w:p>
    <w:p>
      <w:pPr>
        <w:spacing w:after="200" w:line="276"/>
        <w:jc w:val="both"/>
      </w:pPr>
      <w:r>
        <w:rPr>
          <w:rFonts w:ascii="Georgia" w:cs="Georgia" w:eastAsia="Georgia" w:hAnsi="Georgia"/>
          <w:sz w:val="24"/>
          <w:szCs w:val="24"/>
        </w:rPr>
        <w:t xml:space="preserve">Les premières adoptions de l'EDA consistaient généralement à ajouter une couche événementielle à des systèmes existants — une base de données publie des événements de changement, un service émet des notifications après ses opérations. Cette approche « event-enabled » apporte des bénéfices, mais les événements restent des citoyens de seconde classe, dérivés de l'état stocké dans les bases de données.</w:t>
      </w:r>
    </w:p>
    <w:p>
      <w:pPr>
        <w:spacing w:after="200" w:line="276"/>
        <w:jc w:val="both"/>
      </w:pPr>
      <w:r>
        <w:rPr>
          <w:rFonts w:ascii="Georgia" w:cs="Georgia" w:eastAsia="Georgia" w:hAnsi="Georgia"/>
          <w:sz w:val="24"/>
          <w:szCs w:val="24"/>
        </w:rPr>
        <w:t xml:space="preserve">Les architectures « event-native » inversent cette perspective : l'événement devient la primitive fondamentale, et l'état est dérivé des événements. Ce pattern, connu sous le nom d'Event Sourcing, stocke l'historique complet des événements plutôt que l'état courant. L'état est reconstruit en rejouant les événements depuis l'origine. Cette approche offre une auditabilité parfaite (chaque changement est tracé), la possibilité de reconstruire l'état à n'importe quel moment du passé, et une résilience naturelle aux erreurs (on peut corriger et rejouer).</w:t>
      </w:r>
    </w:p>
    <w:p>
      <w:pPr>
        <w:spacing w:after="200" w:line="276"/>
        <w:jc w:val="both"/>
      </w:pPr>
      <w:r>
        <w:rPr>
          <w:rFonts w:ascii="Georgia" w:cs="Georgia" w:eastAsia="Georgia" w:hAnsi="Georgia"/>
          <w:sz w:val="24"/>
          <w:szCs w:val="24"/>
        </w:rPr>
        <w:t xml:space="preserve">Le pattern CQRS (Command Query Responsibility Segregation) accompagne souvent l'Event Sourcing. Il sépare les modèles de lecture et d'écriture : les commandes modifient l'état en produisant des événements ; les requêtes lisent des projections optimisées construites à partir des événements. Cette séparation permet d'optimiser indépendamment les chemins d'écriture et de lecture, adaptant chacun à ses contraintes spécifiques.</w:t>
      </w:r>
    </w:p>
    <w:p>
      <w:pPr>
        <w:spacing w:after="200" w:line="276"/>
        <w:jc w:val="both"/>
      </w:pPr>
      <w:r>
        <w:rPr>
          <w:rFonts w:ascii="Georgia" w:cs="Georgia" w:eastAsia="Georgia" w:hAnsi="Georgia"/>
          <w:sz w:val="24"/>
          <w:szCs w:val="24"/>
        </w:rPr>
        <w:t xml:space="preserve">Kafka, avec sa rétention durable et son log immuable, constitue une fondation naturelle pour ces architectures event-native. Kafka Streams, la bibliothèque de traitement de flux intégrée, permet de construire des applications qui transforment, agrègent et joignent des flux d'événements tout en maintenant un état local. ksqlDB, développé par Confluent, expose ces capacités via une syntaxe SQL familière, démocratisant le traitement de flux au-delà des développeurs spécialisés.</w:t>
      </w:r>
    </w:p>
    <w:p>
      <w:pPr>
        <w:pStyle w:val="Heading2"/>
      </w:pPr>
      <w:r>
        <w:rPr>
          <w:rFonts w:ascii="Arial" w:cs="Arial" w:eastAsia="Arial" w:hAnsi="Arial"/>
          <w:b/>
          <w:bCs/>
        </w:rPr>
        <w:t xml:space="preserve">I.6.5 Le Maillage d'Événements (Event Mesh)</w:t>
      </w:r>
    </w:p>
    <w:p>
      <w:pPr>
        <w:spacing w:after="200" w:line="276"/>
        <w:jc w:val="both"/>
      </w:pPr>
      <w:r>
        <w:rPr>
          <w:rFonts w:ascii="Georgia" w:cs="Georgia" w:eastAsia="Georgia" w:hAnsi="Georgia"/>
          <w:sz w:val="24"/>
          <w:szCs w:val="24"/>
        </w:rPr>
        <w:t xml:space="preserve">Le maillage d'événements (Event Mesh) étend les principes de l'EDA à l'échelle de l'entreprise et au-delà. Là où un cluster Kafka unique peut servir une équipe ou un domaine, le maillage d'événements interconnecte plusieurs clusters, plusieurs régions géographiques et plusieurs environnements (cloud, on-premise, edge) dans un réseau unifié de distribution d'événements.</w:t>
      </w:r>
    </w:p>
    <w:p>
      <w:pPr>
        <w:spacing w:after="200" w:line="276"/>
        <w:jc w:val="both"/>
      </w:pPr>
      <w:r>
        <w:rPr>
          <w:rFonts w:ascii="Georgia" w:cs="Georgia" w:eastAsia="Georgia" w:hAnsi="Georgia"/>
          <w:sz w:val="24"/>
          <w:szCs w:val="24"/>
        </w:rPr>
        <w:t xml:space="preserve">Le concept de maillage d'événements répond à plusieurs besoins. La souveraineté des données exige parfois que certains événements restent dans des régions géographiques spécifiques — le maillage permet de filtrer et router intelligemment. La performance requiert de rapprocher le traitement des sources de données — le maillage distribue les événements là où ils sont nécessaires. La résilience impose d'éviter les points de défaillance uniques — le maillage réplique et route autour des pannes.</w:t>
      </w:r>
    </w:p>
    <w:p>
      <w:pPr>
        <w:spacing w:after="200" w:line="276"/>
        <w:jc w:val="both"/>
      </w:pPr>
      <w:r>
        <w:rPr>
          <w:rFonts w:ascii="Georgia" w:cs="Georgia" w:eastAsia="Georgia" w:hAnsi="Georgia"/>
          <w:sz w:val="24"/>
          <w:szCs w:val="24"/>
        </w:rPr>
        <w:t xml:space="preserve">Confluent a développé des fonctionnalités spécifiques pour le maillage d'événements. Cluster Linking permet de répliquer des topics entre clusters Kafka de manière transparente. Schema Linking synchronise les schémas du Schema Registry à travers les clusters. Ces mécanismes créent un espace de noms unifié où les applications peuvent produire et consommer des événements indépendamment de leur localisation physique.</w:t>
      </w:r>
    </w:p>
    <w:p>
      <w:pPr>
        <w:spacing w:after="200" w:line="276"/>
        <w:jc w:val="both"/>
      </w:pPr>
      <w:r>
        <w:rPr>
          <w:rFonts w:ascii="Georgia" w:cs="Georgia" w:eastAsia="Georgia" w:hAnsi="Georgia"/>
          <w:sz w:val="24"/>
          <w:szCs w:val="24"/>
        </w:rPr>
        <w:t xml:space="preserve">Le maillage d'événements constitue l'infrastructure idéale pour l'entreprise agentique que nous développerons dans la quatrième partie. Les agents cognitifs, distribués à travers l'organisation, pourront percevoir les événements pertinents où qu'ils soient produits, et émettre leurs propres événements vers les systèmes et agents intéressés. Le maillage devient le système nerveux qui permet aux agents de coordonner leurs actions à l'échelle de l'entreprise.</w:t>
      </w:r>
    </w:p>
    <w:p>
      <w:pPr>
        <w:pStyle w:val="Heading2"/>
      </w:pPr>
      <w:r>
        <w:rPr>
          <w:rFonts w:ascii="Arial" w:cs="Arial" w:eastAsia="Arial" w:hAnsi="Arial"/>
          <w:b/>
          <w:bCs/>
        </w:rPr>
        <w:t xml:space="preserve">I.6.6 Conclusion : Bâtir la Colonne Vertébrale Réactive</w:t>
      </w:r>
    </w:p>
    <w:p>
      <w:pPr>
        <w:spacing w:after="200" w:line="276"/>
        <w:jc w:val="both"/>
      </w:pPr>
      <w:r>
        <w:rPr>
          <w:rFonts w:ascii="Georgia" w:cs="Georgia" w:eastAsia="Georgia" w:hAnsi="Georgia"/>
          <w:sz w:val="24"/>
          <w:szCs w:val="24"/>
        </w:rPr>
        <w:t xml:space="preserve">L'architecture orientée événements constitue la colonne vertébrale de l'entreprise réactive. En capturant les faits métier sous forme d'événements persistants et en les distribuant en temps réel aux systèmes intéressés, elle crée la conscience situationnelle nécessaire à la prise de décision rapide. Le découplage qu'elle procure libère les équipes des dépendances rigides et accélère l'innovation.</w:t>
      </w:r>
    </w:p>
    <w:p>
      <w:pPr>
        <w:spacing w:after="200" w:line="276"/>
        <w:jc w:val="both"/>
      </w:pPr>
      <w:r>
        <w:rPr>
          <w:rFonts w:ascii="Georgia" w:cs="Georgia" w:eastAsia="Georgia" w:hAnsi="Georgia"/>
          <w:sz w:val="24"/>
          <w:szCs w:val="24"/>
        </w:rPr>
        <w:t xml:space="preserve">Apache Kafka et la plateforme Confluent ont démocratisé l'EDA en offrant une infrastructure robuste, scalable et désormais accessible en service géré. Les concepts de topics, partitions, groupes de consommateurs et rétention forment le vocabulaire de base que tout architecte moderne doit maîtriser. AsyncAPI complète cet écosystème en standardisant la documentation des interfaces asynchrones.</w:t>
      </w:r>
    </w:p>
    <w:p>
      <w:pPr>
        <w:spacing w:after="200" w:line="276"/>
        <w:jc w:val="both"/>
      </w:pPr>
      <w:r>
        <w:rPr>
          <w:rFonts w:ascii="Georgia" w:cs="Georgia" w:eastAsia="Georgia" w:hAnsi="Georgia"/>
          <w:sz w:val="24"/>
          <w:szCs w:val="24"/>
        </w:rPr>
        <w:t xml:space="preserve">L'évolution vers les architectures event-native — Event Sourcing, CQRS — pousse la logique événementielle jusqu'à ses conclusions naturelles. Le maillage d'événements étend ces capacités à l'échelle de l'entreprise multi-cloud et multi-région. Ces fondations préparent l'infrastructure sur laquelle les agents cognitifs pourront percevoir et agir en temps réel.</w:t>
      </w:r>
    </w:p>
    <w:p>
      <w:pPr>
        <w:pStyle w:val="Heading2"/>
      </w:pPr>
      <w:r>
        <w:rPr>
          <w:rFonts w:ascii="Arial" w:cs="Arial" w:eastAsia="Arial" w:hAnsi="Arial"/>
          <w:b/>
          <w:bCs/>
        </w:rPr>
        <w:t xml:space="preserve">I.6.7 Résumé</w:t>
      </w:r>
    </w:p>
    <w:p>
      <w:pPr>
        <w:spacing w:after="200" w:line="276"/>
        <w:jc w:val="both"/>
      </w:pPr>
      <w:r>
        <w:rPr>
          <w:rFonts w:ascii="Georgia" w:cs="Georgia" w:eastAsia="Georgia" w:hAnsi="Georgia"/>
          <w:sz w:val="24"/>
          <w:szCs w:val="24"/>
        </w:rPr>
        <w:t xml:space="preserve">L'architecture orientée événements (EDA) permet aux systèmes de réagir en temps réel aux événements métier. Le découplage entre producteurs et consommateurs apporte autonomie, résilience et conscience situationnelle. Contrairement aux architectures basées sur les requêtes, les producteurs d'événements n'ont pas besoin de connaître leurs consommateurs.</w:t>
      </w:r>
    </w:p>
    <w:p>
      <w:pPr>
        <w:spacing w:after="200" w:line="276"/>
        <w:jc w:val="both"/>
      </w:pPr>
      <w:r>
        <w:rPr>
          <w:rFonts w:ascii="Georgia" w:cs="Georgia" w:eastAsia="Georgia" w:hAnsi="Georgia"/>
          <w:sz w:val="24"/>
          <w:szCs w:val="24"/>
        </w:rPr>
        <w:t xml:space="preserve">Apache Kafka a révolutionné l'EDA avec son concept de log distribué. Les topics organisent les événements, les partitions assurent le parallélisme, les groupes de consommateurs distribuent la charge. La rétention configurable permet le replay et l'analytique historique. Confluent Platform enrichit Kafka avec Schema Registry, ksqlDB, Kafka Connect et des outils d'administration.</w:t>
      </w:r>
    </w:p>
    <w:p>
      <w:pPr>
        <w:spacing w:after="200" w:line="276"/>
        <w:jc w:val="both"/>
      </w:pPr>
      <w:r>
        <w:rPr>
          <w:rFonts w:ascii="Georgia" w:cs="Georgia" w:eastAsia="Georgia" w:hAnsi="Georgia"/>
          <w:sz w:val="24"/>
          <w:szCs w:val="24"/>
        </w:rPr>
        <w:t xml:space="preserve">AsyncAPI standardise la description des interfaces asynchrones, apportant aux événements les bénéfices qu'OpenAPI a apportés aux API REST. Les architectures event-native (Event Sourcing, CQRS) font de l'événement la primitive fondamentale. Le maillage d'événements (Event Mesh) étend l'EDA à l'échelle de l'entreprise distribuée, préparant l'infrastructure pour les agents cognitifs.</w:t>
      </w:r>
    </w:p>
    <w:p>
      <w:r>
        <w:br w:type="page"/>
      </w:r>
    </w:p>
    <w:p>
      <w:pPr>
        <w:spacing w:before="600" w:after="2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Le chapitre suivant, </w:t>
      </w:r>
      <w:r>
        <w:rPr>
          <w:rFonts w:ascii="Georgia" w:cs="Georgia" w:eastAsia="Georgia" w:hAnsi="Georgia"/>
          <w:b/>
          <w:bCs/>
          <w:i/>
          <w:iCs/>
          <w:sz w:val="24"/>
          <w:szCs w:val="24"/>
        </w:rPr>
        <w:t xml:space="preserve">Contrats de Données : Pilier de la Fiabilité et du Data Mesh</w:t>
      </w:r>
      <w:r>
        <w:rPr>
          <w:rFonts w:ascii="Georgia" w:cs="Georgia" w:eastAsia="Georgia" w:hAnsi="Georgia"/>
          <w:b w:val="false"/>
          <w:bCs w:val="false"/>
          <w:i/>
          <w:iCs/>
          <w:sz w:val="24"/>
          <w:szCs w:val="24"/>
        </w:rPr>
        <w:t xml:space="preserve">, aborde la gouvernance des échanges. Dans une architecture distribuée où les événements circulent entre dizaines de systèmes, comment garantir que producteurs et consommateurs s'accordent sur la structure et la signification des données ? Les contrats de données formalisent ces accords et constituent le fondement de la confiance dans les écosystèmes événementiels.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2 : Architecture Réactive et Écosystème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2026-01-11T02:06:49.859Z</dcterms:created>
  <dcterms:modified xsi:type="dcterms:W3CDTF">2026-01-11T02:06:49.860Z</dcterms:modified>
</cp:coreProperties>
</file>

<file path=docProps/custom.xml><?xml version="1.0" encoding="utf-8"?>
<Properties xmlns="http://schemas.openxmlformats.org/officeDocument/2006/custom-properties" xmlns:vt="http://schemas.openxmlformats.org/officeDocument/2006/docPropsVTypes"/>
</file>