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200"/>
        <w:jc w:val="center"/>
      </w:pPr>
      <w:r>
        <w:rPr>
          <w:rFonts w:ascii="Arial" w:cs="Arial" w:eastAsia="Arial" w:hAnsi="Arial"/>
          <w:color w:val="2E5B8A"/>
          <w:sz w:val="28"/>
          <w:szCs w:val="28"/>
        </w:rPr>
        <w:t xml:space="preserve">PARTIE 1</w:t>
      </w:r>
    </w:p>
    <w:p>
      <w:pPr>
        <w:spacing w:after="600"/>
        <w:jc w:val="center"/>
      </w:pPr>
      <w:r>
        <w:rPr>
          <w:rFonts w:ascii="Arial" w:cs="Arial" w:eastAsia="Arial" w:hAnsi="Arial"/>
          <w:b/>
          <w:bCs/>
          <w:color w:val="1E3A5F"/>
          <w:sz w:val="36"/>
          <w:szCs w:val="36"/>
        </w:rPr>
        <w:t xml:space="preserve">LA CRISE DE L'INTÉGRATION</w:t>
      </w:r>
    </w:p>
    <w:p>
      <w:pPr>
        <w:jc w:val="center"/>
      </w:pPr>
      <w:r>
        <w:rPr>
          <w:color w:val="4A90D9"/>
          <w:sz w:val="28"/>
          <w:szCs w:val="28"/>
        </w:rPr>
        <w:t xml:space="preserve">───────────────────────────────</w:t>
      </w:r>
    </w:p>
    <w:p>
      <w:pPr>
        <w:spacing w:after="800"/>
      </w:pPr>
    </w:p>
    <w:p>
      <w:pPr>
        <w:spacing w:after="200"/>
        <w:jc w:val="center"/>
      </w:pPr>
      <w:r>
        <w:rPr>
          <w:rFonts w:ascii="Arial" w:cs="Arial" w:eastAsia="Arial" w:hAnsi="Arial"/>
          <w:color w:val="2E5B8A"/>
          <w:sz w:val="32"/>
          <w:szCs w:val="32"/>
        </w:rPr>
        <w:t xml:space="preserve">CHAPITRE I.2</w:t>
      </w:r>
    </w:p>
    <w:p>
      <w:pPr>
        <w:spacing w:after="300"/>
        <w:jc w:val="center"/>
      </w:pPr>
      <w:r>
        <w:rPr>
          <w:rFonts w:ascii="Arial" w:cs="Arial" w:eastAsia="Arial" w:hAnsi="Arial"/>
          <w:b/>
          <w:bCs/>
          <w:color w:val="1E3A5F"/>
          <w:sz w:val="40"/>
          <w:szCs w:val="40"/>
        </w:rPr>
        <w:t xml:space="preserve">FONDEMENTS ET DIMENSIONS</w:t>
      </w:r>
    </w:p>
    <w:p>
      <w:pPr>
        <w:spacing w:after="100"/>
        <w:jc w:val="center"/>
      </w:pPr>
      <w:r>
        <w:rPr>
          <w:rFonts w:ascii="Arial" w:cs="Arial" w:eastAsia="Arial" w:hAnsi="Arial"/>
          <w:b/>
          <w:bCs/>
          <w:color w:val="1E3A5F"/>
          <w:sz w:val="40"/>
          <w:szCs w:val="40"/>
        </w:rPr>
        <w:t xml:space="preserve">DE L'INTEROPÉRABILITÉ</w:t>
      </w:r>
    </w:p>
    <w:p>
      <w:pPr>
        <w:spacing w:after="3500"/>
      </w:pPr>
    </w:p>
    <w:p>
      <w:pPr>
        <w:spacing w:after="200"/>
        <w:jc w:val="center"/>
      </w:pPr>
      <w:r>
        <w:rPr>
          <w:rFonts w:ascii="Arial" w:cs="Arial" w:eastAsia="Arial" w:hAnsi="Arial"/>
          <w:i/>
          <w:iCs/>
          <w:color w:val="2E5B8A"/>
          <w:sz w:val="24"/>
          <w:szCs w:val="24"/>
        </w:rPr>
        <w:t xml:space="preserve">Volume I : Fondations de l'Entreprise Agentique</w:t>
      </w:r>
    </w:p>
    <w:p>
      <w:pPr>
        <w:sectPr>
          <w:pgSz w:w="12240" w:h="15840" w:orient="portrait"/>
          <w:pgMar w:top="1440" w:right="1440" w:bottom="1440" w:left="1440" w:header="708" w:footer="708" w:gutter="0"/>
          <w:pgNumType/>
          <w:docGrid w:linePitch="360"/>
        </w:sectPr>
      </w:pPr>
    </w:p>
    <w:p>
      <w:pPr>
        <w:pStyle w:val="Heading1"/>
      </w:pPr>
      <w:r>
        <w:t xml:space="preserve">CHAPITRE I.2 — FONDEMENTS ET DIMENSIONS DE L'INTEROPÉRABILITÉ</w:t>
      </w:r>
    </w:p>
    <w:p>
      <w:pPr>
        <w:spacing w:after="200" w:line="276"/>
        <w:jc w:val="both"/>
      </w:pPr>
      <w:r>
        <w:rPr>
          <w:rFonts w:ascii="Arial" w:cs="Arial" w:eastAsia="Arial" w:hAnsi="Arial"/>
          <w:sz w:val="24"/>
          <w:szCs w:val="24"/>
        </w:rPr>
        <w:t xml:space="preserve">Le chapitre précédent a dressé le constat d'une crise systémique de l'intégration. Les paradigmes successifs — point à point, EAI, SOA, microservices — ont chacun déplacé la complexité sans la résoudre. Pour sortir de ce cycle, un changement de perspective s'impose : passer de la logique d'intégration à celle d'interopérabilité.</w:t>
      </w:r>
    </w:p>
    <w:p>
      <w:pPr>
        <w:spacing w:after="200" w:line="276"/>
        <w:jc w:val="both"/>
      </w:pPr>
      <w:r>
        <w:rPr>
          <w:rFonts w:ascii="Arial" w:cs="Arial" w:eastAsia="Arial" w:hAnsi="Arial"/>
          <w:sz w:val="24"/>
          <w:szCs w:val="24"/>
        </w:rPr>
        <w:t xml:space="preserve">Cette distinction n'est pas sémantique; elle est fondamentale. L'intégration procède d'une logique de connexion : relier des systèmes conçus isolément par des interfaces spécifiques. L'interopérabilité vise une capacité intrinsèque : concevoir des systèmes capables de collaborer naturellement grâce à des principes partagés. La différence est celle qui sépare la construction de ponts entre îles de la création d'un archipel navigable.</w:t>
      </w:r>
    </w:p>
    <w:p>
      <w:pPr>
        <w:spacing w:after="200" w:line="276"/>
        <w:jc w:val="both"/>
      </w:pPr>
      <w:r>
        <w:rPr>
          <w:rFonts w:ascii="Arial" w:cs="Arial" w:eastAsia="Arial" w:hAnsi="Arial"/>
          <w:sz w:val="24"/>
          <w:szCs w:val="24"/>
        </w:rPr>
        <w:t xml:space="preserve">Ce chapitre établit les fondements conceptuels de l'interopérabilité. Nous explorerons d'abord l'évolution des définitions formelles, depuis les standards militaires jusqu'aux cadres européens contemporains. Nous distinguerons ensuite rigoureusement intégration et interopérabilité, en examinant les implications architecturales et stratégiques de chaque approche. Enfin, nous analyserons les dimensions constitutives de l'interopérabilité — technique, sémantique, organisationnelle, légale — qui forment le cadre analytique nécessaire à toute démarche structurée.</w:t>
      </w:r>
    </w:p>
    <w:p>
      <w:pPr>
        <w:pStyle w:val="Heading2"/>
      </w:pPr>
      <w:r>
        <w:t xml:space="preserve">I.2.1 Définitions Formelles et Évolution du Concept</w:t>
      </w:r>
    </w:p>
    <w:p>
      <w:pPr>
        <w:spacing w:after="200" w:line="276"/>
        <w:jc w:val="both"/>
      </w:pPr>
      <w:r>
        <w:rPr>
          <w:rFonts w:ascii="Arial" w:cs="Arial" w:eastAsia="Arial" w:hAnsi="Arial"/>
          <w:sz w:val="24"/>
          <w:szCs w:val="24"/>
        </w:rPr>
        <w:t xml:space="preserve">L'interopérabilité n'est pas un concept né de l'informatique d'entreprise. Ses racines plongent dans les problématiques militaires de coordination inter-armées, dans les défis des télécommunications internationales, dans les enjeux de normalisation industrielle. Comprendre cette généalogie éclaire les exigences contemporaines.</w:t>
      </w:r>
    </w:p>
    <w:p>
      <w:pPr>
        <w:pStyle w:val="Heading3"/>
      </w:pPr>
      <w:r>
        <w:t xml:space="preserve">I.2.1.1 Le Point de Départ : La Rigueur des Standards</w:t>
      </w:r>
    </w:p>
    <w:p>
      <w:pPr>
        <w:spacing w:after="200" w:line="276"/>
        <w:jc w:val="both"/>
      </w:pPr>
      <w:r>
        <w:rPr>
          <w:rFonts w:ascii="Arial" w:cs="Arial" w:eastAsia="Arial" w:hAnsi="Arial"/>
          <w:sz w:val="24"/>
          <w:szCs w:val="24"/>
        </w:rPr>
        <w:t xml:space="preserve">Les premières définitions rigoureuses de l'interopérabilité émergent du domaine militaire, où la coordination entre systèmes hétérogènes peut avoir des conséquences vitales. Le Département de la Défense américain, confronté à l'incapacité de ses différentes branches à communiquer efficacement, a formalisé le concept dès les années 1970.</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 — IEEE (1990)</w:t>
            </w:r>
          </w:p>
          <w:p>
            <w:pPr>
              <w:spacing w:after="80"/>
            </w:pPr>
            <w:r>
              <w:rPr>
                <w:rFonts w:ascii="Arial" w:cs="Arial" w:eastAsia="Arial" w:hAnsi="Arial"/>
                <w:i/>
                <w:iCs/>
                <w:sz w:val="22"/>
                <w:szCs w:val="22"/>
              </w:rPr>
              <w:t xml:space="preserve">Interopérabilité : Capacité de deux ou plusieurs systèmes ou composants à échanger de l'information et à utiliser l'information échangée. (IEEE Standard Glossary of Software Engineering Terminology)</w:t>
            </w:r>
          </w:p>
        </w:tc>
      </w:tr>
    </w:tbl>
    <w:p>
      <w:pPr>
        <w:spacing w:after="200"/>
      </w:pPr>
    </w:p>
    <w:p>
      <w:pPr>
        <w:spacing w:after="200" w:line="276"/>
        <w:jc w:val="both"/>
      </w:pPr>
      <w:r>
        <w:rPr>
          <w:rFonts w:ascii="Arial" w:cs="Arial" w:eastAsia="Arial" w:hAnsi="Arial"/>
          <w:sz w:val="24"/>
          <w:szCs w:val="24"/>
        </w:rPr>
        <w:t xml:space="preserve">Cette définition fondatrice de l'IEEE met en lumière deux aspects essentiels. Le premier est l'échange : la capacité technique de transmettre de l'information d'un système à un autre. Le second, plus subtil, est l'utilisation : la capacité du système récepteur à exploiter effectivement l'information reçue. Un système qui reçoit des données qu'il ne peut interpréter n'est pas véritablement interopérable.</w:t>
      </w: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Organisation internationale de normalisation (ISO)</w:t>
      </w:r>
      <w:r>
        <w:rPr>
          <w:rFonts w:ascii="Arial" w:cs="Arial" w:eastAsia="Arial" w:hAnsi="Arial"/>
          <w:sz w:val="24"/>
          <w:szCs w:val="24"/>
        </w:rPr>
        <w:t xml:space="preserve"> a enrichi cette définition en intégrant la notion de contexte opérationnel. Pour l'ISO, l'interopérabilité implique non seulement l'échange et l'utilisation, mais aussi la capacité à fonctionner ensemble dans un environnement donné, avec des contraintes spécifiques de performance, de sécurité et de fiabilité.</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 — ISO 16100</w:t>
            </w:r>
          </w:p>
          <w:p>
            <w:pPr>
              <w:spacing w:after="80"/>
            </w:pPr>
            <w:r>
              <w:rPr>
                <w:rFonts w:ascii="Arial" w:cs="Arial" w:eastAsia="Arial" w:hAnsi="Arial"/>
                <w:i/>
                <w:iCs/>
                <w:sz w:val="22"/>
                <w:szCs w:val="22"/>
              </w:rPr>
              <w:t xml:space="preserve">Interopérabilité : Capacité à communiquer, exécuter des programmes ou transférer des données entre différentes unités fonctionnelles d'une manière qui requiert de l'utilisateur peu ou pas de connaissance des caractéristiques uniques de ces unités.</w:t>
            </w:r>
          </w:p>
        </w:tc>
      </w:tr>
    </w:tbl>
    <w:p>
      <w:pPr>
        <w:spacing w:after="200"/>
      </w:pPr>
    </w:p>
    <w:p>
      <w:pPr>
        <w:spacing w:after="200" w:line="276"/>
        <w:jc w:val="both"/>
      </w:pPr>
      <w:r>
        <w:rPr>
          <w:rFonts w:ascii="Arial" w:cs="Arial" w:eastAsia="Arial" w:hAnsi="Arial"/>
          <w:sz w:val="24"/>
          <w:szCs w:val="24"/>
        </w:rPr>
        <w:t xml:space="preserve">L'apport crucial de cette définition ISO réside dans la notion de transparence pour l'utilisateur. Un système véritablement interopérable masque la complexité des interactions sous-jacentes. L'utilisateur — qu'il soit humain ou système — n'a pas besoin de connaître les spécificités de chaque composant pour bénéficier de leur collaboration.</w:t>
      </w:r>
    </w:p>
    <w:p>
      <w:pPr>
        <w:pStyle w:val="Heading3"/>
      </w:pPr>
      <w:r>
        <w:t xml:space="preserve">I.2.1.2 Archéologie du Concept : Une Trajectoire d'Enrichissement Progressif</w:t>
      </w:r>
    </w:p>
    <w:p>
      <w:pPr>
        <w:spacing w:after="200" w:line="276"/>
        <w:jc w:val="both"/>
      </w:pPr>
      <w:r>
        <w:rPr>
          <w:rFonts w:ascii="Arial" w:cs="Arial" w:eastAsia="Arial" w:hAnsi="Arial"/>
          <w:sz w:val="24"/>
          <w:szCs w:val="24"/>
        </w:rPr>
        <w:t xml:space="preserve">L'évolution du concept d'interopérabilité reflète l'élargissement progressif des ambitions. Des premières préoccupations purement techniques, le concept s'est enrichi de dimensions sémantiques, organisationnelles et stratégiques.</w:t>
      </w:r>
    </w:p>
    <w:p>
      <w:pPr>
        <w:spacing w:after="200" w:line="276"/>
        <w:jc w:val="both"/>
      </w:pPr>
      <w:r>
        <w:rPr>
          <w:rFonts w:ascii="Arial" w:cs="Arial" w:eastAsia="Arial" w:hAnsi="Arial"/>
          <w:sz w:val="24"/>
          <w:szCs w:val="24"/>
        </w:rPr>
        <w:t xml:space="preserve">Les années 1980-1990 ont vu dominer l'</w:t>
      </w:r>
      <w:r>
        <w:rPr>
          <w:rFonts w:ascii="Arial" w:cs="Arial" w:eastAsia="Arial" w:hAnsi="Arial"/>
          <w:b/>
          <w:bCs/>
          <w:sz w:val="24"/>
          <w:szCs w:val="24"/>
        </w:rPr>
        <w:t xml:space="preserve">interopérabilité technique</w:t>
      </w:r>
      <w:r>
        <w:rPr>
          <w:rFonts w:ascii="Arial" w:cs="Arial" w:eastAsia="Arial" w:hAnsi="Arial"/>
          <w:sz w:val="24"/>
          <w:szCs w:val="24"/>
        </w:rPr>
        <w:t xml:space="preserve">. L'enjeu était de permettre la communication entre systèmes utilisant des protocoles, des formats et des plateformes différents. Les standards OSI (Open Systems Interconnection), TCP/IP, puis les formats d'échange comme EDI (Electronic Data Interchange) répondaient à ce besoin. L'interopérabilité était essentiellement une affaire de « tuyauterie ».</w:t>
      </w:r>
    </w:p>
    <w:p>
      <w:pPr>
        <w:spacing w:after="200" w:line="276"/>
        <w:jc w:val="both"/>
      </w:pPr>
      <w:r>
        <w:rPr>
          <w:rFonts w:ascii="Arial" w:cs="Arial" w:eastAsia="Arial" w:hAnsi="Arial"/>
          <w:sz w:val="24"/>
          <w:szCs w:val="24"/>
        </w:rPr>
        <w:t xml:space="preserve">Les années 2000 ont marqué l'émergence de l'</w:t>
      </w:r>
      <w:r>
        <w:rPr>
          <w:rFonts w:ascii="Arial" w:cs="Arial" w:eastAsia="Arial" w:hAnsi="Arial"/>
          <w:b/>
          <w:bCs/>
          <w:sz w:val="24"/>
          <w:szCs w:val="24"/>
        </w:rPr>
        <w:t xml:space="preserve">interopérabilité sémantique</w:t>
      </w:r>
      <w:r>
        <w:rPr>
          <w:rFonts w:ascii="Arial" w:cs="Arial" w:eastAsia="Arial" w:hAnsi="Arial"/>
          <w:sz w:val="24"/>
          <w:szCs w:val="24"/>
        </w:rPr>
        <w:t xml:space="preserve">. La connexion technique étant largement résolue par Internet et les standards web, l'attention s'est portée sur le sens des données échangées. XML, les ontologies, le web sémantique promettaient une compréhension partagée entre systèmes. Les initiatives comme ebXML ou RosettaNet tentaient de standardiser les vocabulaires métier.</w:t>
      </w:r>
    </w:p>
    <w:p>
      <w:pPr>
        <w:spacing w:after="200" w:line="276"/>
        <w:jc w:val="both"/>
      </w:pPr>
      <w:r>
        <w:rPr>
          <w:rFonts w:ascii="Arial" w:cs="Arial" w:eastAsia="Arial" w:hAnsi="Arial"/>
          <w:sz w:val="24"/>
          <w:szCs w:val="24"/>
        </w:rPr>
        <w:t xml:space="preserve">Les années 2010 ont vu l'affirmation de l'</w:t>
      </w:r>
      <w:r>
        <w:rPr>
          <w:rFonts w:ascii="Arial" w:cs="Arial" w:eastAsia="Arial" w:hAnsi="Arial"/>
          <w:b/>
          <w:bCs/>
          <w:sz w:val="24"/>
          <w:szCs w:val="24"/>
        </w:rPr>
        <w:t xml:space="preserve">interopérabilité organisationnelle</w:t>
      </w:r>
      <w:r>
        <w:rPr>
          <w:rFonts w:ascii="Arial" w:cs="Arial" w:eastAsia="Arial" w:hAnsi="Arial"/>
          <w:sz w:val="24"/>
          <w:szCs w:val="24"/>
        </w:rPr>
        <w:t xml:space="preserve">. La reconnaissance que la technologie seule ne suffit pas a conduit à intégrer les dimensions de processus, de gouvernance et de collaboration humaine. Les cadres d'interopérabilité gouvernementaux, notamment européens, ont formalisé cette vision élargie.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Le projet européen PEPPOL (Pan-European Public Procurement OnLine) illustre cette évolution. Lancé en 2008 pour permettre les marchés publics transfrontaliers, il a dû résoudre successivement les problèmes techniques (protocoles de transport), sémantiques (formats de factures standardisés), organisationnels (processus de validation harmonisés) et légaux (reconnaissance mutuelle des signatures électroniques). Chaque dimension s'est révélée aussi critique que les autres.</w:t>
            </w:r>
          </w:p>
        </w:tc>
      </w:tr>
    </w:tbl>
    <w:p>
      <w:pPr>
        <w:spacing w:after="200"/>
      </w:pPr>
    </w:p>
    <w:p>
      <w:pPr>
        <w:pStyle w:val="Heading3"/>
      </w:pPr>
      <w:r>
        <w:t xml:space="preserve">I.2.1.3 Synthèse Évolutive</w:t>
      </w:r>
    </w:p>
    <w:p>
      <w:pPr>
        <w:spacing w:after="200" w:line="276"/>
        <w:jc w:val="both"/>
      </w:pPr>
      <w:r>
        <w:rPr>
          <w:rFonts w:ascii="Arial" w:cs="Arial" w:eastAsia="Arial" w:hAnsi="Arial"/>
          <w:sz w:val="24"/>
          <w:szCs w:val="24"/>
        </w:rPr>
        <w:t xml:space="preserve">L'évolution des définitions révèle un enrichissement constant du concept. Chaque génération a conservé les acquis de la précédente tout en ajoutant de nouvelles exigences. Cette stratification ne doit pas être vue comme une complication mais comme une maturation.</w:t>
      </w:r>
    </w:p>
    <w:p>
      <w:pPr>
        <w:spacing w:after="200" w:line="276"/>
        <w:jc w:val="both"/>
      </w:pPr>
      <w:r>
        <w:rPr>
          <w:rFonts w:ascii="Arial" w:cs="Arial" w:eastAsia="Arial" w:hAnsi="Arial"/>
          <w:sz w:val="24"/>
          <w:szCs w:val="24"/>
        </w:rPr>
        <w:t xml:space="preserve">Le </w:t>
      </w:r>
      <w:r>
        <w:rPr>
          <w:rFonts w:ascii="Arial" w:cs="Arial" w:eastAsia="Arial" w:hAnsi="Arial"/>
          <w:b/>
          <w:bCs/>
          <w:sz w:val="24"/>
          <w:szCs w:val="24"/>
        </w:rPr>
        <w:t xml:space="preserve">Cadre Européen d'Interopérabilité (EIF)</w:t>
      </w:r>
      <w:r>
        <w:rPr>
          <w:rFonts w:ascii="Arial" w:cs="Arial" w:eastAsia="Arial" w:hAnsi="Arial"/>
          <w:sz w:val="24"/>
          <w:szCs w:val="24"/>
        </w:rPr>
        <w:t xml:space="preserve">, dans sa version 2017, propose une définition synthétique qui intègre ces différentes strates : « L'interopérabilité est la capacité d'organisations diverses et disparates à interagir en vue d'atteindre des objectifs communs mutuellement bénéfiques, impliquant le partage d'informations et de connaissances entre ces organisations, via les processus métier qu'elles supportent, au moyen de l'échange de données entre leurs systèmes TIC. »</w:t>
      </w:r>
    </w:p>
    <w:p>
      <w:pPr>
        <w:spacing w:after="200" w:line="276"/>
        <w:jc w:val="both"/>
      </w:pPr>
      <w:r>
        <w:rPr>
          <w:rFonts w:ascii="Arial" w:cs="Arial" w:eastAsia="Arial" w:hAnsi="Arial"/>
          <w:sz w:val="24"/>
          <w:szCs w:val="24"/>
        </w:rPr>
        <w:t xml:space="preserve">Cette définition contemporaine présente plusieurs caractéristiques remarquables. Elle place les organisations, et non les systèmes techniques, au centre de la problématique. Elle introduit la notion d'objectifs communs, soulignant que l'interopérabilité n'est pas une fin en soi mais un moyen au service de finalités partagées. Elle articule explicitement les niveaux organisationnel, processuel et technique.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L'évolution des définitions trace une trajectoire claire : de la connectivité technique vers la capacité collaborative. Pour l'entreprise agentique, cette trajectoire se prolonge vers l'interopérabilité cognitive — la capacité des systèmes à comprendre les intentions et à s'adapter dynamiquement. Cette dimension émergente sera développée dans la Partie 3 de ce volume.</w:t>
            </w:r>
          </w:p>
        </w:tc>
      </w:tr>
    </w:tbl>
    <w:p>
      <w:pPr>
        <w:spacing w:after="200"/>
      </w:pPr>
    </w:p>
    <w:p>
      <w:r>
        <w:br w:type="page"/>
      </w:r>
    </w:p>
    <w:p>
      <w:pPr>
        <w:pStyle w:val="Heading2"/>
      </w:pPr>
      <w:r>
        <w:t xml:space="preserve">I.2.2 La Distinction Fondamentale : Intégration vs. Interopérabilité</w:t>
      </w:r>
    </w:p>
    <w:p>
      <w:pPr>
        <w:spacing w:after="200" w:line="276"/>
        <w:jc w:val="both"/>
      </w:pPr>
      <w:r>
        <w:rPr>
          <w:rFonts w:ascii="Arial" w:cs="Arial" w:eastAsia="Arial" w:hAnsi="Arial"/>
          <w:sz w:val="24"/>
          <w:szCs w:val="24"/>
        </w:rPr>
        <w:t xml:space="preserve">Les termes « intégration » et « interopérabilité » sont souvent utilisés de manière interchangeable dans le discours professionnel. Cette confusion terminologique masque une différence conceptuelle profonde aux implications architecturales et stratégiques majeures. Clarifier cette distinction est essentiel pour sortir du cycle de déceptions décrit au chapitre précédent.</w:t>
      </w:r>
    </w:p>
    <w:p>
      <w:pPr>
        <w:pStyle w:val="Heading3"/>
      </w:pPr>
      <w:r>
        <w:t xml:space="preserve">I.2.2.1 Couplage Fort (Intégration) vs. Couplage Lâche (Interopérabilité)</w:t>
      </w: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intégration</w:t>
      </w:r>
      <w:r>
        <w:rPr>
          <w:rFonts w:ascii="Arial" w:cs="Arial" w:eastAsia="Arial" w:hAnsi="Arial"/>
          <w:sz w:val="24"/>
          <w:szCs w:val="24"/>
        </w:rPr>
        <w:t xml:space="preserve"> procède d'une logique de </w:t>
      </w:r>
      <w:r>
        <w:rPr>
          <w:rFonts w:ascii="Arial" w:cs="Arial" w:eastAsia="Arial" w:hAnsi="Arial"/>
          <w:b/>
          <w:bCs/>
          <w:sz w:val="24"/>
          <w:szCs w:val="24"/>
        </w:rPr>
        <w:t xml:space="preserve">couplage fort</w:t>
      </w:r>
      <w:r>
        <w:rPr>
          <w:rFonts w:ascii="Arial" w:cs="Arial" w:eastAsia="Arial" w:hAnsi="Arial"/>
          <w:sz w:val="24"/>
          <w:szCs w:val="24"/>
        </w:rPr>
        <w:t xml:space="preserve">. Deux systèmes sont intégrés lorsqu'ils sont connectés par une interface spécifique qui encode les particularités de chacun. Le système A connaît la structure des données du système B, les protocoles qu'il utilise, les formats qu'il attend. Cette connaissance mutuelle crée une dépendance : modifier l'un impose de modifier l'autre.</w:t>
      </w:r>
    </w:p>
    <w:p>
      <w:pPr>
        <w:spacing w:after="200" w:line="276"/>
        <w:jc w:val="both"/>
      </w:pPr>
      <w:r>
        <w:rPr>
          <w:rFonts w:ascii="Arial" w:cs="Arial" w:eastAsia="Arial" w:hAnsi="Arial"/>
          <w:sz w:val="24"/>
          <w:szCs w:val="24"/>
        </w:rPr>
        <w:t xml:space="preserve">Le couplage fort présente des avantages apparents. L'interface peut être optimisée pour les besoins spécifiques des deux systèmes. Les transformations de données sont précises. Les performances peuvent être finement ajustées. Ces avantages expliquent la persistance de l'approche malgré ses limitations connues.</w:t>
      </w:r>
    </w:p>
    <w:p>
      <w:pPr>
        <w:spacing w:after="200" w:line="276"/>
        <w:jc w:val="both"/>
      </w:pPr>
      <w:r>
        <w:rPr>
          <w:rFonts w:ascii="Arial" w:cs="Arial" w:eastAsia="Arial" w:hAnsi="Arial"/>
          <w:sz w:val="24"/>
          <w:szCs w:val="24"/>
        </w:rPr>
        <w:t xml:space="preserve">Mais le couplage fort engendre des pathologies systémiques. La rigidité : chaque évolution d'un système propage des contraintes sur tous les systèmes connectés. La fragilité : une défaillance d'un composant peut se propager en cascade. L'opacité : la multiplication des interfaces spécifiques rend le système global incompréhensible. Ces pathologies s'aggravent avec l'échelle, jusqu'à la paralysie décrite au chapitre précédent.</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Couplage : Degré d'interdépendance entre composants d'un système. Le couplage fort implique que les composants partagent des connaissances détaillées sur leurs implémentations respectives. Le couplage lâche signifie que les composants interagissent via des interfaces abstraites sans dépendre des détails d'implémentation.</w:t>
            </w:r>
          </w:p>
        </w:tc>
      </w:tr>
    </w:tbl>
    <w:p>
      <w:pPr>
        <w:spacing w:after="200"/>
      </w:pP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interopérabilité</w:t>
      </w:r>
      <w:r>
        <w:rPr>
          <w:rFonts w:ascii="Arial" w:cs="Arial" w:eastAsia="Arial" w:hAnsi="Arial"/>
          <w:sz w:val="24"/>
          <w:szCs w:val="24"/>
        </w:rPr>
        <w:t xml:space="preserve"> vise le </w:t>
      </w:r>
      <w:r>
        <w:rPr>
          <w:rFonts w:ascii="Arial" w:cs="Arial" w:eastAsia="Arial" w:hAnsi="Arial"/>
          <w:b/>
          <w:bCs/>
          <w:sz w:val="24"/>
          <w:szCs w:val="24"/>
        </w:rPr>
        <w:t xml:space="preserve">couplage lâche</w:t>
      </w:r>
      <w:r>
        <w:rPr>
          <w:rFonts w:ascii="Arial" w:cs="Arial" w:eastAsia="Arial" w:hAnsi="Arial"/>
          <w:sz w:val="24"/>
          <w:szCs w:val="24"/>
        </w:rPr>
        <w:t xml:space="preserve">. Les systèmes interopérables ne se connaissent pas mutuellement; ils partagent des conventions communes — protocoles standardisés, formats ouverts, vocabulaires partagés — qui leur permettent de collaborer sans interface spécifique. Un nouveau système peut rejoindre l'écosystème en adoptant ces conventions, sans nécessiter de développement d'interface avec chaque système existant.</w:t>
      </w:r>
    </w:p>
    <w:p>
      <w:pPr>
        <w:spacing w:after="200" w:line="276"/>
        <w:jc w:val="both"/>
      </w:pPr>
      <w:r>
        <w:rPr>
          <w:rFonts w:ascii="Arial" w:cs="Arial" w:eastAsia="Arial" w:hAnsi="Arial"/>
          <w:sz w:val="24"/>
          <w:szCs w:val="24"/>
        </w:rPr>
        <w:t xml:space="preserve">Le couplage lâche inverse les propriétés du couplage fort. La flexibilité : les systèmes peuvent évoluer indépendamment tant qu'ils respectent les conventions partagées. La résilience : les défaillances restent localisées, le système global se dégrade gracieusement. La transparence : les interactions suivent des patterns connus et documentés.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Considérons deux approches pour permettre à un système de gestion des commandes de communiquer avec un système de gestion des stocks. L'intégration développerait une interface spécifique : appels directs aux API propriétaires du système de stocks, transformation des formats de données, gestion des erreurs spécifiques. L'interopérabilité ferait publier par le système de commandes des événements standardisés (« CommandeValidée ») sur un backbone événementiel; le système de stocks s'abonnerait à ces événements sans connaître leur émetteur. Le premier approche crée une dépendance; la seconde préserve l'autonomie.</w:t>
            </w:r>
          </w:p>
        </w:tc>
      </w:tr>
    </w:tbl>
    <w:p>
      <w:pPr>
        <w:spacing w:after="200"/>
      </w:pPr>
    </w:p>
    <w:p>
      <w:pPr>
        <w:pStyle w:val="Heading3"/>
      </w:pPr>
      <w:r>
        <w:t xml:space="preserve">I.2.2.2 Approche Tactique vs. Capacité Stratégique Durable</w:t>
      </w:r>
    </w:p>
    <w:p>
      <w:pPr>
        <w:spacing w:after="200" w:line="276"/>
        <w:jc w:val="both"/>
      </w:pPr>
      <w:r>
        <w:rPr>
          <w:rFonts w:ascii="Arial" w:cs="Arial" w:eastAsia="Arial" w:hAnsi="Arial"/>
          <w:sz w:val="24"/>
          <w:szCs w:val="24"/>
        </w:rPr>
        <w:t xml:space="preserve">La distinction entre intégration et interopérabilité recouvre également une différence de posture temporelle et stratégique.</w:t>
      </w:r>
    </w:p>
    <w:p>
      <w:pPr>
        <w:spacing w:after="200" w:line="276"/>
        <w:jc w:val="both"/>
      </w:pPr>
      <w:r>
        <w:rPr>
          <w:rFonts w:ascii="Arial" w:cs="Arial" w:eastAsia="Arial" w:hAnsi="Arial"/>
          <w:sz w:val="24"/>
          <w:szCs w:val="24"/>
        </w:rPr>
        <w:t xml:space="preserve">L'intégration est typiquement une </w:t>
      </w:r>
      <w:r>
        <w:rPr>
          <w:rFonts w:ascii="Arial" w:cs="Arial" w:eastAsia="Arial" w:hAnsi="Arial"/>
          <w:b/>
          <w:bCs/>
          <w:sz w:val="24"/>
          <w:szCs w:val="24"/>
        </w:rPr>
        <w:t xml:space="preserve">réponse tactique</w:t>
      </w:r>
      <w:r>
        <w:rPr>
          <w:rFonts w:ascii="Arial" w:cs="Arial" w:eastAsia="Arial" w:hAnsi="Arial"/>
          <w:sz w:val="24"/>
          <w:szCs w:val="24"/>
        </w:rPr>
        <w:t xml:space="preserve"> à un besoin identifié. Un projet métier nécessite que deux systèmes communiquent; on développe l'interface requise. L'approche est réactive, ponctuelle, orientée vers la résolution du problème immédiat. Chaque projet d'intégration est traité comme un cas particulier, avec ses contraintes et ses solutions spécifiques.</w:t>
      </w:r>
    </w:p>
    <w:p>
      <w:pPr>
        <w:spacing w:after="200" w:line="276"/>
        <w:jc w:val="both"/>
      </w:pPr>
      <w:r>
        <w:rPr>
          <w:rFonts w:ascii="Arial" w:cs="Arial" w:eastAsia="Arial" w:hAnsi="Arial"/>
          <w:sz w:val="24"/>
          <w:szCs w:val="24"/>
        </w:rPr>
        <w:t xml:space="preserve">Cette approche tactique génère l'accumulation de dette systémique décrite au chapitre précédent. Chaque interface répond efficacement au besoin qui l'a motivée, mais l'ensemble de ces solutions ponctuelles forme un système incohérent et fragile. L'absence de vision globale conduit à la duplication des efforts, à l'incohérence des approches, à l'impossibilité de capitaliser sur les réalisations passées.</w:t>
      </w:r>
    </w:p>
    <w:p>
      <w:pPr>
        <w:spacing w:after="200" w:line="276"/>
        <w:jc w:val="both"/>
      </w:pPr>
      <w:r>
        <w:rPr>
          <w:rFonts w:ascii="Arial" w:cs="Arial" w:eastAsia="Arial" w:hAnsi="Arial"/>
          <w:sz w:val="24"/>
          <w:szCs w:val="24"/>
        </w:rPr>
        <w:t xml:space="preserve">L'interopérabilité est une </w:t>
      </w:r>
      <w:r>
        <w:rPr>
          <w:rFonts w:ascii="Arial" w:cs="Arial" w:eastAsia="Arial" w:hAnsi="Arial"/>
          <w:b/>
          <w:bCs/>
          <w:sz w:val="24"/>
          <w:szCs w:val="24"/>
        </w:rPr>
        <w:t xml:space="preserve">capacité stratégique</w:t>
      </w:r>
      <w:r>
        <w:rPr>
          <w:rFonts w:ascii="Arial" w:cs="Arial" w:eastAsia="Arial" w:hAnsi="Arial"/>
          <w:sz w:val="24"/>
          <w:szCs w:val="24"/>
        </w:rPr>
        <w:t xml:space="preserve"> construite dans la durée. Elle suppose un investissement préalable dans l'établissement de conventions partagées, la mise en place d'infrastructures communes, la formation des équipes. Cet investissement n'est pas directement lié à un projet métier particulier; il crée les conditions pour que tous les projets futurs puissent se réaliser plus efficacement.</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La construction de la capacité d'interopérabilité exige un changement de modèle de financement. Les projets métier ne peuvent pas porter seuls l'investissement dans les fondations communes. Une gouvernance appropriée doit sanctuariser les budgets d'infrastructure d'interopérabilité, les considérant comme des investissements stratégiques au même titre que les actifs physiques de l'entreprise.</w:t>
            </w:r>
          </w:p>
        </w:tc>
      </w:tr>
    </w:tbl>
    <w:p>
      <w:pPr>
        <w:spacing w:after="200"/>
      </w:pPr>
    </w:p>
    <w:p>
      <w:pPr>
        <w:spacing w:after="200" w:line="276"/>
        <w:jc w:val="both"/>
      </w:pPr>
      <w:r>
        <w:rPr>
          <w:rFonts w:ascii="Arial" w:cs="Arial" w:eastAsia="Arial" w:hAnsi="Arial"/>
          <w:sz w:val="24"/>
          <w:szCs w:val="24"/>
        </w:rPr>
        <w:t xml:space="preserve">Le tableau suivant synthétise les différences fondamentales entre les deux approches :</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343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Intégration</w:t>
            </w:r>
          </w:p>
        </w:tc>
        <w:tc>
          <w:tcPr>
            <w:tcW w:type="dxa" w:w="343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Interopérabilité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Couplage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Fort (dépendances directes)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Lâche (conventions partagées)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Temporalité</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Tactique (projet par projet)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Stratégique (capacité durable)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Évolutivité</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Rigide (modifications coûteuses)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Flexible (évolutions indépendantes)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Complexité</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Croissance exponentielle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Croissance linéaire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Gouvernance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Décentralisée (par projet)</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Centralisée (standards communs)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Investissement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(selon les projets)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élevé, marginal faible</w:t>
            </w:r>
          </w:p>
        </w:tc>
      </w:tr>
    </w:tbl>
    <w:p>
      <w:pPr>
        <w:spacing w:after="300"/>
      </w:pPr>
    </w:p>
    <w:p>
      <w:r>
        <w:br w:type="page"/>
      </w:r>
    </w:p>
    <w:p>
      <w:pPr>
        <w:pStyle w:val="Heading2"/>
      </w:pPr>
      <w:r>
        <w:t xml:space="preserve">I.2.3 Les Dimensions Fondamentales de l'Interopérabilité</w:t>
      </w:r>
    </w:p>
    <w:p>
      <w:pPr>
        <w:spacing w:after="200" w:line="276"/>
        <w:jc w:val="both"/>
      </w:pPr>
      <w:r>
        <w:rPr>
          <w:rFonts w:ascii="Arial" w:cs="Arial" w:eastAsia="Arial" w:hAnsi="Arial"/>
          <w:sz w:val="24"/>
          <w:szCs w:val="24"/>
        </w:rPr>
        <w:t xml:space="preserve">L'interopérabilité n'est pas un état binaire — interopérable ou non — mais un ensemble de capacités articulées selon plusieurs dimensions. Les cadres de référence contemporains, notamment le Cadre Européen d'Interopérabilité, distinguent quatre dimensions fondamentales : technique, sémantique, organisationnelle et légale. Chacune présente ses propres défis et requiert des compétences spécifiques.</w:t>
      </w:r>
    </w:p>
    <w:p>
      <w:pPr>
        <w:pStyle w:val="Heading3"/>
      </w:pPr>
      <w:r>
        <w:t xml:space="preserve">I.2.3.1 Technique et Syntactique : Le Socle de la Communication</w:t>
      </w: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interopérabilité technique</w:t>
      </w:r>
      <w:r>
        <w:rPr>
          <w:rFonts w:ascii="Arial" w:cs="Arial" w:eastAsia="Arial" w:hAnsi="Arial"/>
          <w:sz w:val="24"/>
          <w:szCs w:val="24"/>
        </w:rPr>
        <w:t xml:space="preserve"> constitue le socle sur lequel reposent toutes les autres dimensions. Elle concerne la capacité physique des systèmes à communiquer : protocoles de transport, formats de données, interfaces de programmation. Sans interopérabilité technique, aucune collaboration n'est possible.</w:t>
      </w:r>
    </w:p>
    <w:p>
      <w:pPr>
        <w:spacing w:after="200" w:line="276"/>
        <w:jc w:val="both"/>
      </w:pPr>
      <w:r>
        <w:rPr>
          <w:rFonts w:ascii="Arial" w:cs="Arial" w:eastAsia="Arial" w:hAnsi="Arial"/>
          <w:sz w:val="24"/>
          <w:szCs w:val="24"/>
        </w:rPr>
        <w:t xml:space="preserve">Cette dimension est aujourd'hui largement maîtrisée grâce à la standardisation d'Internet. Les protocoles TCP/IP, HTTP/HTTPS, les formats JSON et XML, les styles architecturaux REST et GraphQL constituent un socle technique quasi universel. Un système moderne peut techniquement communiquer avec pratiquement n'importe quel autre système connecté à Internet.</w:t>
      </w: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interopérabilité syntactique</w:t>
      </w:r>
      <w:r>
        <w:rPr>
          <w:rFonts w:ascii="Arial" w:cs="Arial" w:eastAsia="Arial" w:hAnsi="Arial"/>
          <w:sz w:val="24"/>
          <w:szCs w:val="24"/>
        </w:rPr>
        <w:t xml:space="preserve"> va au-delà de la simple transmission de bits. Elle assure que la structure des messages échangés est comprise par tous les participants. Les schémas XML, les spécifications JSON Schema, les définitions Protocol Buffers formalisent cette structure. Le </w:t>
      </w:r>
      <w:r>
        <w:rPr>
          <w:rFonts w:ascii="Arial" w:cs="Arial" w:eastAsia="Arial" w:hAnsi="Arial"/>
          <w:b/>
          <w:bCs/>
          <w:sz w:val="24"/>
          <w:szCs w:val="24"/>
        </w:rPr>
        <w:t xml:space="preserve">Schema Registry</w:t>
      </w:r>
      <w:r>
        <w:rPr>
          <w:rFonts w:ascii="Arial" w:cs="Arial" w:eastAsia="Arial" w:hAnsi="Arial"/>
          <w:sz w:val="24"/>
          <w:szCs w:val="24"/>
        </w:rPr>
        <w:t xml:space="preserve">, composant central des architectures événementielles modernes, gouverne ces définitions à l'échelle de l'entreprise.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Interopérabilité syntactique : Capacité des systèmes à échanger des données dont la structure (types, relations, contraintes) est formellement définie et mutuellement comprise, indépendamment de la signification métier de ces données.</w:t>
            </w:r>
          </w:p>
        </w:tc>
      </w:tr>
    </w:tbl>
    <w:p>
      <w:pPr>
        <w:spacing w:after="200"/>
      </w:pPr>
    </w:p>
    <w:p>
      <w:pPr>
        <w:spacing w:after="200" w:line="276"/>
        <w:jc w:val="both"/>
      </w:pPr>
      <w:r>
        <w:rPr>
          <w:rFonts w:ascii="Arial" w:cs="Arial" w:eastAsia="Arial" w:hAnsi="Arial"/>
          <w:sz w:val="24"/>
          <w:szCs w:val="24"/>
        </w:rPr>
        <w:t xml:space="preserve">Les défis contemporains de l'interopérabilité technique concernent moins la communication de base que les propriétés non fonctionnelles : latence, débit, fiabilité, sécurité. Les architectures modernes doivent gérer des volumes de données considérables, des exigences de temps réel, des contraintes de confidentialité strictes. Ces exigences imposent des choix techniques sophistiqués que nous explorerons dans la Partie 2.</w:t>
      </w:r>
    </w:p>
    <w:p>
      <w:pPr>
        <w:pStyle w:val="Heading3"/>
      </w:pPr>
      <w:r>
        <w:t xml:space="preserve">I.2.3.2 Sémantique : La Quête du Sens Partagé</w:t>
      </w: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interopérabilité sémantique</w:t>
      </w:r>
      <w:r>
        <w:rPr>
          <w:rFonts w:ascii="Arial" w:cs="Arial" w:eastAsia="Arial" w:hAnsi="Arial"/>
          <w:sz w:val="24"/>
          <w:szCs w:val="24"/>
        </w:rPr>
        <w:t xml:space="preserve"> aborde une question plus profonde : les systèmes qui échangent des données comprennent-ils la même chose? Un champ « date » transmis d'un système à un autre représente-t-il la date de création, de modification, d'échéance? Un montant est-il en dollars canadiens ou américains, hors taxes ou toutes taxes comprises?</w:t>
      </w:r>
    </w:p>
    <w:p>
      <w:pPr>
        <w:spacing w:after="200" w:line="276"/>
        <w:jc w:val="both"/>
      </w:pPr>
      <w:r>
        <w:rPr>
          <w:rFonts w:ascii="Arial" w:cs="Arial" w:eastAsia="Arial" w:hAnsi="Arial"/>
          <w:sz w:val="24"/>
          <w:szCs w:val="24"/>
        </w:rPr>
        <w:t xml:space="preserve">Ces questions, apparemment triviales, sont à l'origine de nombreux dysfonctionnements des systèmes d'information. Les données circulent techniquement, mais leur interprétation diverge entre émetteur et récepteur. Les conséquences peuvent être bénignes — un rapport incorrect — ou catastrophiques — une décision basée sur des données mal comprises.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L'échec de la sonde Mars Climate Orbiter en 1999 illustre dramatiquement l'enjeu sémantique. Le logiciel de navigation de Lockheed Martin transmettait des données de poussée en livres-force; le logiciel de la NASA les interprétait en newtons. Le format technique était correct, mais l'absence de convention sémantique explicite a conduit à la perte d'un engin spatial de 125 millions de dollars.</w:t>
            </w:r>
          </w:p>
        </w:tc>
      </w:tr>
    </w:tbl>
    <w:p>
      <w:pPr>
        <w:spacing w:after="200"/>
      </w:pPr>
    </w:p>
    <w:p>
      <w:pPr>
        <w:spacing w:after="200" w:line="276"/>
        <w:jc w:val="both"/>
      </w:pPr>
      <w:r>
        <w:rPr>
          <w:rFonts w:ascii="Arial" w:cs="Arial" w:eastAsia="Arial" w:hAnsi="Arial"/>
          <w:sz w:val="24"/>
          <w:szCs w:val="24"/>
        </w:rPr>
        <w:t xml:space="preserve">Les approches traditionnelles de l'interopérabilité sémantique reposent sur la standardisation des vocabulaires. Les ontologies formelles, exprimées en RDF (Resource Description Framework) ou OWL (Web Ontology Language), tentent de définir rigoureusement les concepts et leurs relations. Les modèles de données canoniques imposent des structures communes. Les référentiels de données maîtres (Master Data Management ou MDM) centralisent les définitions autoritatives.</w:t>
      </w:r>
    </w:p>
    <w:p>
      <w:pPr>
        <w:spacing w:after="200" w:line="276"/>
        <w:jc w:val="both"/>
      </w:pPr>
      <w:r>
        <w:rPr>
          <w:rFonts w:ascii="Arial" w:cs="Arial" w:eastAsia="Arial" w:hAnsi="Arial"/>
          <w:sz w:val="24"/>
          <w:szCs w:val="24"/>
        </w:rPr>
        <w:t xml:space="preserve">Ces approches ont démontré leur valeur dans des domaines circonscrits et stables. Elles atteignent leurs limites face à la dynamique des environnements d'entreprise contemporains. Les ontologies figent des définitions que les métiers font évoluer constamment. Les modèles canoniques deviennent des compromis insatisfaisants pour tous. Les MDM centralisés créent des goulots d'étranglement. Nous analyserons ces limites en détail au Chapitre I.10, préparant l'introduction de l'interopérabilité cognitive.</w:t>
      </w:r>
    </w:p>
    <w:p>
      <w:pPr>
        <w:pStyle w:val="Heading3"/>
      </w:pPr>
      <w:r>
        <w:t xml:space="preserve">I.2.3.3 Organisationnelle et Pragmatique : L'Alignement des Processus</w:t>
      </w: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interopérabilité organisationnelle</w:t>
      </w:r>
      <w:r>
        <w:rPr>
          <w:rFonts w:ascii="Arial" w:cs="Arial" w:eastAsia="Arial" w:hAnsi="Arial"/>
          <w:sz w:val="24"/>
          <w:szCs w:val="24"/>
        </w:rPr>
        <w:t xml:space="preserve"> reconnaît que l'échange de données s'inscrit dans des processus métier portés par des acteurs humains. Deux systèmes peuvent être techniquement et sémantiquement interopérables, mais si les processus qu'ils supportent ne sont pas alignés, la collaboration effective reste impossible.</w:t>
      </w:r>
    </w:p>
    <w:p>
      <w:pPr>
        <w:spacing w:after="200" w:line="276"/>
        <w:jc w:val="both"/>
      </w:pPr>
      <w:r>
        <w:rPr>
          <w:rFonts w:ascii="Arial" w:cs="Arial" w:eastAsia="Arial" w:hAnsi="Arial"/>
          <w:sz w:val="24"/>
          <w:szCs w:val="24"/>
        </w:rPr>
        <w:t xml:space="preserve">Cette dimension englobe la coordination des processus métier entre organisations ou entre unités d'une même organisation. Elle implique l'alignement des responsabilités, des délais, des niveaux de service attendus. Elle suppose une compréhension partagée des objectifs poursuivis et des règles de collaboration.</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2"/>
              <w:bottom w:val="none" w:color="FFFFFF" w:sz="0"/>
              <w:right w:val="none" w:color="FFFFFF" w:sz="0"/>
            </w:tcBorders>
            <w:shd w:fill="FFF3E0" w:val="clear"/>
            <w:tcMar>
              <w:top w:type="dxa" w:w="150"/>
              <w:left w:type="dxa" w:w="200"/>
              <w:bottom w:type="dxa" w:w="150"/>
              <w:right w:type="dxa" w:w="200"/>
            </w:tcMar>
          </w:tcPr>
          <w:p>
            <w:pPr>
              <w:spacing w:after="100"/>
            </w:pPr>
            <w:r>
              <w:rPr>
                <w:rFonts w:ascii="Arial" w:cs="Arial" w:eastAsia="Arial" w:hAnsi="Arial"/>
                <w:b/>
                <w:bCs/>
                <w:color w:val="E65100"/>
                <w:sz w:val="22"/>
                <w:szCs w:val="22"/>
              </w:rPr>
              <w:t xml:space="preserve">Définition formelle</w:t>
            </w:r>
          </w:p>
          <w:p>
            <w:pPr>
              <w:spacing w:after="80"/>
            </w:pPr>
            <w:r>
              <w:rPr>
                <w:rFonts w:ascii="Arial" w:cs="Arial" w:eastAsia="Arial" w:hAnsi="Arial"/>
                <w:i/>
                <w:iCs/>
                <w:sz w:val="22"/>
                <w:szCs w:val="22"/>
              </w:rPr>
              <w:t xml:space="preserve">Interopérabilité organisationnelle : Capacité des organisations à aligner leurs processus métier, leurs structures de gouvernance et leurs modes de collaboration pour atteindre des objectifs communs, au-delà de la simple capacité technique d'échange de données.</w:t>
            </w:r>
          </w:p>
        </w:tc>
      </w:tr>
    </w:tbl>
    <w:p>
      <w:pPr>
        <w:spacing w:after="200"/>
      </w:pPr>
    </w:p>
    <w:p>
      <w:pPr>
        <w:spacing w:after="200" w:line="276"/>
        <w:jc w:val="both"/>
      </w:pPr>
      <w:r>
        <w:rPr>
          <w:rFonts w:ascii="Arial" w:cs="Arial" w:eastAsia="Arial" w:hAnsi="Arial"/>
          <w:sz w:val="24"/>
          <w:szCs w:val="24"/>
        </w:rPr>
        <w:t xml:space="preserve">La dimension </w:t>
      </w:r>
      <w:r>
        <w:rPr>
          <w:rFonts w:ascii="Arial" w:cs="Arial" w:eastAsia="Arial" w:hAnsi="Arial"/>
          <w:b/>
          <w:bCs/>
          <w:sz w:val="24"/>
          <w:szCs w:val="24"/>
        </w:rPr>
        <w:t xml:space="preserve">pragmatique</w:t>
      </w:r>
      <w:r>
        <w:rPr>
          <w:rFonts w:ascii="Arial" w:cs="Arial" w:eastAsia="Arial" w:hAnsi="Arial"/>
          <w:sz w:val="24"/>
          <w:szCs w:val="24"/>
        </w:rPr>
        <w:t xml:space="preserve"> de l'interopérabilité, parfois distinguée de la dimension organisationnelle, concerne l'utilisation effective des informations échangées dans leur contexte d'action. Elle pose la question : l'information reçue est-elle utilisable pour la décision ou l'action envisagée? Cette utilité dépend non seulement du contenu de l'information mais de sa fraîcheur, de sa complétude, de sa fiabilité perçue.</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1FA2" w:sz="12"/>
              <w:bottom w:val="none" w:color="FFFFFF" w:sz="0"/>
              <w:right w:val="none" w:color="FFFFFF" w:sz="0"/>
            </w:tcBorders>
            <w:shd w:fill="F3E5F5" w:val="clear"/>
            <w:tcMar>
              <w:top w:type="dxa" w:w="150"/>
              <w:left w:type="dxa" w:w="200"/>
              <w:bottom w:type="dxa" w:w="150"/>
              <w:right w:type="dxa" w:w="200"/>
            </w:tcMar>
          </w:tcPr>
          <w:p>
            <w:pPr>
              <w:spacing w:after="100"/>
            </w:pPr>
            <w:r>
              <w:rPr>
                <w:rFonts w:ascii="Arial" w:cs="Arial" w:eastAsia="Arial" w:hAnsi="Arial"/>
                <w:b/>
                <w:bCs/>
                <w:color w:val="7B1FA2"/>
                <w:sz w:val="22"/>
                <w:szCs w:val="22"/>
              </w:rPr>
              <w:t xml:space="preserve">Exemple concret</w:t>
            </w:r>
          </w:p>
          <w:p>
            <w:pPr>
              <w:spacing w:after="80"/>
            </w:pPr>
            <w:r>
              <w:rPr>
                <w:rFonts w:ascii="Arial" w:cs="Arial" w:eastAsia="Arial" w:hAnsi="Arial"/>
                <w:i/>
                <w:iCs/>
                <w:sz w:val="22"/>
                <w:szCs w:val="22"/>
              </w:rPr>
              <w:t xml:space="preserve">Une chaîne d'approvisionnement illustre l'enjeu de l'interopérabilité organisationnelle. Un fournisseur et son client peuvent disposer de systèmes parfaitement interopérables techniquement et sémantiquement. Mais si le fournisseur met à jour ses stocks une fois par jour tandis que le client attend une visibilité en temps réel, l'interopérabilité organisationnelle fait défaut. Les processus ne sont pas alignés sur les mêmes temporalités.</w:t>
            </w:r>
          </w:p>
        </w:tc>
      </w:tr>
    </w:tbl>
    <w:p>
      <w:pPr>
        <w:spacing w:after="200"/>
      </w:pPr>
    </w:p>
    <w:p>
      <w:pPr>
        <w:spacing w:after="200" w:line="276"/>
        <w:jc w:val="both"/>
      </w:pPr>
      <w:r>
        <w:rPr>
          <w:rFonts w:ascii="Arial" w:cs="Arial" w:eastAsia="Arial" w:hAnsi="Arial"/>
          <w:sz w:val="24"/>
          <w:szCs w:val="24"/>
        </w:rPr>
        <w:t xml:space="preserve">L'interopérabilité organisationnelle est souvent le parent pauvre des initiatives d'intégration. Les projets se concentrent sur les aspects techniques, plus tangibles et mesurables, négligeant l'alignement des processus et des pratiques. Cette négligence explique l'échec de nombreux projets techniquement réussis mais organisationnellement désalignés.</w:t>
      </w:r>
    </w:p>
    <w:p>
      <w:pPr>
        <w:pStyle w:val="Heading3"/>
      </w:pPr>
      <w:r>
        <w:t xml:space="preserve">I.2.3.4 Légale et de Gouvernance : Le Cadre de Confiance</w:t>
      </w:r>
    </w:p>
    <w:p>
      <w:pPr>
        <w:spacing w:after="200" w:line="276"/>
        <w:jc w:val="both"/>
      </w:pPr>
      <w:r>
        <w:rPr>
          <w:rFonts w:ascii="Arial" w:cs="Arial" w:eastAsia="Arial" w:hAnsi="Arial"/>
          <w:sz w:val="24"/>
          <w:szCs w:val="24"/>
        </w:rPr>
        <w:t xml:space="preserve">L'</w:t>
      </w:r>
      <w:r>
        <w:rPr>
          <w:rFonts w:ascii="Arial" w:cs="Arial" w:eastAsia="Arial" w:hAnsi="Arial"/>
          <w:b/>
          <w:bCs/>
          <w:sz w:val="24"/>
          <w:szCs w:val="24"/>
        </w:rPr>
        <w:t xml:space="preserve">interopérabilité légale</w:t>
      </w:r>
      <w:r>
        <w:rPr>
          <w:rFonts w:ascii="Arial" w:cs="Arial" w:eastAsia="Arial" w:hAnsi="Arial"/>
          <w:sz w:val="24"/>
          <w:szCs w:val="24"/>
        </w:rPr>
        <w:t xml:space="preserve"> constitue le cadre normatif dans lequel s'inscrivent les échanges. Elle englobe les aspects réglementaires, contractuels et de conformité qui encadrent la circulation de l'information entre systèmes et entre organisations.</w:t>
      </w:r>
    </w:p>
    <w:p>
      <w:pPr>
        <w:spacing w:after="200" w:line="276"/>
        <w:jc w:val="both"/>
      </w:pPr>
      <w:r>
        <w:rPr>
          <w:rFonts w:ascii="Arial" w:cs="Arial" w:eastAsia="Arial" w:hAnsi="Arial"/>
          <w:sz w:val="24"/>
          <w:szCs w:val="24"/>
        </w:rPr>
        <w:t xml:space="preserve">Cette dimension a pris une importance considérable avec le renforcement des réglementations sur la protection des données. Le Règlement Général sur la Protection des Données (RGPD) européen, la Loi 25 québécoise sur la protection des renseignements personnels imposent des contraintes strictes sur les transferts de données. L'interopérabilité doit s'exercer dans le respect de ces cadres légaux, ce qui peut limiter les possibilités techniques.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50"/>
              <w:left w:type="dxa" w:w="200"/>
              <w:bottom w:type="dxa" w:w="150"/>
              <w:right w:type="dxa" w:w="200"/>
            </w:tcMar>
          </w:tcPr>
          <w:p>
            <w:pPr>
              <w:spacing w:after="100"/>
            </w:pPr>
            <w:r>
              <w:rPr>
                <w:rFonts w:ascii="Arial" w:cs="Arial" w:eastAsia="Arial" w:hAnsi="Arial"/>
                <w:b/>
                <w:bCs/>
                <w:color w:val="2E7D32"/>
                <w:sz w:val="22"/>
                <w:szCs w:val="22"/>
              </w:rPr>
              <w:t xml:space="preserve">Perspective stratégique</w:t>
            </w:r>
          </w:p>
          <w:p>
            <w:pPr>
              <w:spacing w:after="80"/>
            </w:pPr>
            <w:r>
              <w:rPr>
                <w:rFonts w:ascii="Arial" w:cs="Arial" w:eastAsia="Arial" w:hAnsi="Arial"/>
                <w:i/>
                <w:iCs/>
                <w:sz w:val="22"/>
                <w:szCs w:val="22"/>
              </w:rPr>
              <w:t xml:space="preserve">La fragmentation réglementaire mondiale crée des défis majeurs d'interopérabilité légale pour les organisations internationales. Les données qui peuvent circuler librement dans une juridiction peuvent être soumises à des restrictions strictes dans une autre. L'architecture d'interopérabilité doit intégrer ces contraintes dès la conception, non comme des obstacles mais comme des paramètres du système.</w:t>
            </w:r>
          </w:p>
        </w:tc>
      </w:tr>
    </w:tbl>
    <w:p>
      <w:pPr>
        <w:spacing w:after="200"/>
      </w:pPr>
    </w:p>
    <w:p>
      <w:pPr>
        <w:spacing w:after="200" w:line="276"/>
        <w:jc w:val="both"/>
      </w:pPr>
      <w:r>
        <w:rPr>
          <w:rFonts w:ascii="Arial" w:cs="Arial" w:eastAsia="Arial" w:hAnsi="Arial"/>
          <w:sz w:val="24"/>
          <w:szCs w:val="24"/>
        </w:rPr>
        <w:t xml:space="preserve">La </w:t>
      </w:r>
      <w:r>
        <w:rPr>
          <w:rFonts w:ascii="Arial" w:cs="Arial" w:eastAsia="Arial" w:hAnsi="Arial"/>
          <w:b/>
          <w:bCs/>
          <w:sz w:val="24"/>
          <w:szCs w:val="24"/>
        </w:rPr>
        <w:t xml:space="preserve">gouvernance</w:t>
      </w:r>
      <w:r>
        <w:rPr>
          <w:rFonts w:ascii="Arial" w:cs="Arial" w:eastAsia="Arial" w:hAnsi="Arial"/>
          <w:sz w:val="24"/>
          <w:szCs w:val="24"/>
        </w:rPr>
        <w:t xml:space="preserve"> de l'interopérabilité définit les règles, les responsabilités et les mécanismes de décision qui encadrent les échanges. Qui définit les standards? Qui arbitre les conflits d'interprétation? Qui garantit la qualité des données échangées? Ces questions de gouvernance sont aussi critiques que les choix techniques.</w:t>
      </w:r>
    </w:p>
    <w:p>
      <w:pPr>
        <w:spacing w:after="200" w:line="276"/>
        <w:jc w:val="both"/>
      </w:pPr>
      <w:r>
        <w:rPr>
          <w:rFonts w:ascii="Arial" w:cs="Arial" w:eastAsia="Arial" w:hAnsi="Arial"/>
          <w:sz w:val="24"/>
          <w:szCs w:val="24"/>
        </w:rPr>
        <w:t xml:space="preserve">Dans un contexte intra-organisationnel, la gouvernance de l'interopérabilité relève de l'architecture d'entreprise et des fonctions de données. Dans un contexte inter-organisationnel, elle suppose des accords explicites entre parties, souvent formalisés dans des contrats de niveau de service ou des chartes de collaboration.</w:t>
      </w:r>
    </w:p>
    <w:p>
      <w:r>
        <w:br w:type="page"/>
      </w:r>
    </w:p>
    <w:p>
      <w:pPr>
        <w:pStyle w:val="Heading2"/>
      </w:pPr>
      <w:r>
        <w:t xml:space="preserve">I.2.4 Conclusion : L'Interopérabilité comme Discipline d'Ingénierie Systémique</w:t>
      </w:r>
    </w:p>
    <w:p>
      <w:pPr>
        <w:spacing w:after="200" w:line="276"/>
        <w:jc w:val="both"/>
      </w:pPr>
      <w:r>
        <w:rPr>
          <w:rFonts w:ascii="Arial" w:cs="Arial" w:eastAsia="Arial" w:hAnsi="Arial"/>
          <w:sz w:val="24"/>
          <w:szCs w:val="24"/>
        </w:rPr>
        <w:t xml:space="preserve">Ce chapitre a établi les fondements conceptuels de l'interopérabilité. Nous avons tracé l'évolution du concept, depuis les définitions militaires et normatives jusqu'aux cadres européens contemporains. Nous avons distingué rigoureusement l'interopérabilité de l'intégration, mettant en lumière les implications architecturales et stratégiques de chaque approche. Nous avons analysé les quatre dimensions constitutives — technique, sémantique, organisationnelle, légale — qui forment le cadre analytique de toute démarche d'interopérabilité.</w:t>
      </w:r>
    </w:p>
    <w:p>
      <w:pPr>
        <w:spacing w:after="200" w:line="276"/>
        <w:jc w:val="both"/>
      </w:pPr>
      <w:r>
        <w:rPr>
          <w:rFonts w:ascii="Arial" w:cs="Arial" w:eastAsia="Arial" w:hAnsi="Arial"/>
          <w:sz w:val="24"/>
          <w:szCs w:val="24"/>
        </w:rPr>
        <w:t xml:space="preserve">Une conviction émerge de cette analyse : l'interopérabilité n'est pas un problème technique à résoudre par des outils mais une discipline d'ingénierie systémique à cultiver dans la durée. Elle exige une vision globale articulant les dimensions techniques et humaines, une gouvernance appropriée sanctuarisant les investissements dans les fondations communes, une culture organisationnelle valorisant la collaboration et les standards partagés.</w:t>
      </w:r>
    </w:p>
    <w:p>
      <w:pPr>
        <w:spacing w:after="200" w:line="276"/>
        <w:jc w:val="both"/>
      </w:pPr>
      <w:r>
        <w:rPr>
          <w:rFonts w:ascii="Arial" w:cs="Arial" w:eastAsia="Arial" w:hAnsi="Arial"/>
          <w:sz w:val="24"/>
          <w:szCs w:val="24"/>
        </w:rPr>
        <w:t xml:space="preserve">L'entreprise agentique, horizon de cette monographie, suppose la maîtrise de cette discipline d'interopérabilité. Les </w:t>
      </w:r>
      <w:r>
        <w:rPr>
          <w:rFonts w:ascii="Arial" w:cs="Arial" w:eastAsia="Arial" w:hAnsi="Arial"/>
          <w:b/>
          <w:bCs/>
          <w:sz w:val="24"/>
          <w:szCs w:val="24"/>
        </w:rPr>
        <w:t xml:space="preserve">agents cognitifs</w:t>
      </w:r>
      <w:r>
        <w:rPr>
          <w:rFonts w:ascii="Arial" w:cs="Arial" w:eastAsia="Arial" w:hAnsi="Arial"/>
          <w:sz w:val="24"/>
          <w:szCs w:val="24"/>
        </w:rPr>
        <w:t xml:space="preserve"> ne peuvent collaborer efficacement que dans un environnement où les conventions d'échange sont établies, où le sens des données est partagé, où les processus sont alignés, où la confiance est instituée. Le </w:t>
      </w:r>
      <w:r>
        <w:rPr>
          <w:rFonts w:ascii="Arial" w:cs="Arial" w:eastAsia="Arial" w:hAnsi="Arial"/>
          <w:b/>
          <w:bCs/>
          <w:sz w:val="24"/>
          <w:szCs w:val="24"/>
        </w:rPr>
        <w:t xml:space="preserve">maillage agentique</w:t>
      </w:r>
      <w:r>
        <w:rPr>
          <w:rFonts w:ascii="Arial" w:cs="Arial" w:eastAsia="Arial" w:hAnsi="Arial"/>
          <w:sz w:val="24"/>
          <w:szCs w:val="24"/>
        </w:rPr>
        <w:t xml:space="preserve"> (Agentic Mesh) repose sur ces fondations d'interopérabilité.</w:t>
      </w:r>
    </w:p>
    <w:p>
      <w:pPr>
        <w:spacing w:after="200" w:line="276"/>
        <w:jc w:val="both"/>
      </w:pPr>
      <w:r>
        <w:rPr>
          <w:rFonts w:ascii="Arial" w:cs="Arial" w:eastAsia="Arial" w:hAnsi="Arial"/>
          <w:sz w:val="24"/>
          <w:szCs w:val="24"/>
        </w:rPr>
        <w:t xml:space="preserve">Le chapitre suivant complétera ce cadre conceptuel en présentant les principaux cadres de référence et modèles de maturité qui permettent d'évaluer et de structurer les démarches d'interopérabilité. Ces outils méthodologiques sont indispensables pour transformer les principes établis ici en feuilles de route actionnables.</w:t>
      </w:r>
    </w:p>
    <w:p>
      <w:pPr>
        <w:pStyle w:val="Heading2"/>
      </w:pPr>
      <w:r>
        <w:t xml:space="preserve">I.2.5 Résumé</w:t>
      </w:r>
    </w:p>
    <w:p>
      <w:pPr>
        <w:spacing w:after="200" w:line="276"/>
        <w:jc w:val="both"/>
      </w:pPr>
      <w:r>
        <w:rPr>
          <w:rFonts w:ascii="Arial" w:cs="Arial" w:eastAsia="Arial" w:hAnsi="Arial"/>
          <w:sz w:val="24"/>
          <w:szCs w:val="24"/>
        </w:rPr>
        <w:t xml:space="preserve">Ce chapitre a établi les fondements conceptuels de l'interopérabilité :</w:t>
      </w:r>
    </w:p>
    <w:p>
      <w:pPr>
        <w:spacing w:after="200" w:line="276"/>
        <w:jc w:val="both"/>
      </w:pPr>
      <w:r>
        <w:rPr>
          <w:rFonts w:ascii="Arial" w:cs="Arial" w:eastAsia="Arial" w:hAnsi="Arial"/>
          <w:b/>
          <w:bCs/>
          <w:sz w:val="24"/>
          <w:szCs w:val="24"/>
        </w:rPr>
        <w:t xml:space="preserve">L'évolution des définitions </w:t>
      </w:r>
      <w:r>
        <w:rPr>
          <w:rFonts w:ascii="Arial" w:cs="Arial" w:eastAsia="Arial" w:hAnsi="Arial"/>
          <w:sz w:val="24"/>
          <w:szCs w:val="24"/>
        </w:rPr>
        <w:t xml:space="preserve">révèle un enrichissement progressif du concept. Des premières définitions techniques (IEEE, ISO) aux cadres européens contemporains, l'interopérabilité s'est élargie pour englober les dimensions sémantiques, organisationnelles et légales. Cette évolution trace une trajectoire vers l'interopérabilité cognitive.</w:t>
      </w:r>
    </w:p>
    <w:p>
      <w:pPr>
        <w:spacing w:after="200" w:line="276"/>
        <w:jc w:val="both"/>
      </w:pPr>
      <w:r>
        <w:rPr>
          <w:rFonts w:ascii="Arial" w:cs="Arial" w:eastAsia="Arial" w:hAnsi="Arial"/>
          <w:b/>
          <w:bCs/>
          <w:sz w:val="24"/>
          <w:szCs w:val="24"/>
        </w:rPr>
        <w:t xml:space="preserve">La distinction intégration/interopérabilité </w:t>
      </w:r>
      <w:r>
        <w:rPr>
          <w:rFonts w:ascii="Arial" w:cs="Arial" w:eastAsia="Arial" w:hAnsi="Arial"/>
          <w:sz w:val="24"/>
          <w:szCs w:val="24"/>
        </w:rPr>
        <w:t xml:space="preserve">est fondamentale. L'intégration crée des couplages forts par des interfaces spécifiques; l'interopérabilité vise le couplage lâche par des conventions partagées. L'intégration est une réponse tactique; l'interopérabilité est une capacité stratégique. Cette distinction explique le cycle de déceptions des approches traditionnelles.</w:t>
      </w:r>
    </w:p>
    <w:p>
      <w:pPr>
        <w:spacing w:after="200" w:line="276"/>
        <w:jc w:val="both"/>
      </w:pPr>
      <w:r>
        <w:rPr>
          <w:rFonts w:ascii="Arial" w:cs="Arial" w:eastAsia="Arial" w:hAnsi="Arial"/>
          <w:b/>
          <w:bCs/>
          <w:sz w:val="24"/>
          <w:szCs w:val="24"/>
        </w:rPr>
        <w:t xml:space="preserve">Les quatre dimensions de l'interopérabilité </w:t>
      </w:r>
      <w:r>
        <w:rPr>
          <w:rFonts w:ascii="Arial" w:cs="Arial" w:eastAsia="Arial" w:hAnsi="Arial"/>
          <w:sz w:val="24"/>
          <w:szCs w:val="24"/>
        </w:rPr>
        <w:t xml:space="preserve">forment un cadre analytique complet. La dimension technique assure la communication physique. La dimension sémantique garantit la compréhension partagée du sens. La dimension organisationnelle aligne les processus et les pratiques. La dimension légale établit le cadre de confiance normatif.</w:t>
      </w:r>
    </w:p>
    <w:p>
      <w:pPr>
        <w:spacing w:after="200" w:line="276"/>
        <w:jc w:val="both"/>
      </w:pPr>
      <w:r>
        <w:rPr>
          <w:rFonts w:ascii="Arial" w:cs="Arial" w:eastAsia="Arial" w:hAnsi="Arial"/>
          <w:b/>
          <w:bCs/>
          <w:sz w:val="24"/>
          <w:szCs w:val="24"/>
        </w:rPr>
        <w:t xml:space="preserve">L'interopérabilité comme discipline </w:t>
      </w:r>
      <w:r>
        <w:rPr>
          <w:rFonts w:ascii="Arial" w:cs="Arial" w:eastAsia="Arial" w:hAnsi="Arial"/>
          <w:sz w:val="24"/>
          <w:szCs w:val="24"/>
        </w:rPr>
        <w:t xml:space="preserve">exige une approche systémique dépassant les solutions techniques ponctuelles. Elle suppose une gouvernance appropriée, des investissements dans les fondations communes, une culture de collaboration. Cette discipline est le prérequis de l'entreprise agentique.</w:t>
      </w:r>
    </w:p>
    <w:p>
      <w:pPr>
        <w:spacing w:after="300"/>
      </w:pPr>
    </w:p>
    <w:p>
      <w:pPr>
        <w:spacing w:after="200"/>
      </w:pPr>
      <w:r>
        <w:rPr>
          <w:rFonts w:ascii="Arial" w:cs="Arial" w:eastAsia="Arial" w:hAnsi="Arial"/>
          <w:b/>
          <w:bCs/>
          <w:sz w:val="24"/>
          <w:szCs w:val="24"/>
        </w:rPr>
        <w:t xml:space="preserve">Tableau récapitulatif : Les quatre dimensions de l'interopérabilité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Question centrale</w:t>
            </w:r>
          </w:p>
        </w:tc>
        <w:tc>
          <w:tcPr>
            <w:tcW w:type="dxa" w:w="3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Moyens typiques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Technique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Les systèmes peuvent-ils communiquer?</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Protocoles, formats, API standardisées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Sémantique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données sont-elles comprises de la même façon?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Ontologies, vocabulaires, schémas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Organisationnelle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Les processus sont-ils alignés?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Gouvernance, SLA, coordination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Légale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 cadre normatif est-il respecté?</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Conformité, contrats, certifications</w:t>
            </w:r>
          </w:p>
        </w:tc>
      </w:tr>
    </w:tbl>
    <w:p>
      <w:pPr>
        <w:spacing w:after="400"/>
      </w:pPr>
    </w:p>
    <w:p>
      <w:pPr>
        <w:jc w:val="center"/>
      </w:pPr>
      <w:r>
        <w:rPr>
          <w:color w:val="4A90D9"/>
          <w:sz w:val="24"/>
          <w:szCs w:val="24"/>
        </w:rPr>
        <w:t xml:space="preserve">───────────────────────────────</w:t>
      </w:r>
    </w:p>
    <w:p>
      <w:pPr>
        <w:spacing w:before="200"/>
        <w:jc w:val="center"/>
      </w:pPr>
      <w:r>
        <w:rPr>
          <w:rFonts w:ascii="Arial" w:cs="Arial" w:eastAsia="Arial" w:hAnsi="Arial"/>
          <w:i/>
          <w:iCs/>
          <w:color w:val="2E5B8A"/>
          <w:sz w:val="22"/>
          <w:szCs w:val="22"/>
        </w:rPr>
        <w:t xml:space="preserve">Le Chapitre I.3 qui suit présente les cadres de référence, standards et modèles de maturité qui permettent d'opérationnaliser les concepts établis dans ce chapitre et de structurer les démarches d'interopérabilité.</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5B8A"/>
        <w:sz w:val="18"/>
        <w:szCs w:val="18"/>
      </w:rPr>
      <w:t xml:space="preserve">Volume I : Fondations de l'Entreprise Agentique —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E5B8A"/>
        <w:sz w:val="20"/>
        <w:szCs w:val="20"/>
      </w:rPr>
      <w:t xml:space="preserve">Chapitre I.2 — Fondements et Dimensions de l'Interopérabilité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B8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2026-01-11T11:33:45.749Z</dcterms:created>
  <dcterms:modified xsi:type="dcterms:W3CDTF">2026-01-11T11:33:45.750Z</dcterms:modified>
</cp:coreProperties>
</file>

<file path=docProps/custom.xml><?xml version="1.0" encoding="utf-8"?>
<Properties xmlns="http://schemas.openxmlformats.org/officeDocument/2006/custom-properties" xmlns:vt="http://schemas.openxmlformats.org/officeDocument/2006/docPropsVTypes"/>
</file>