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rFonts w:ascii="Arial" w:cs="Arial" w:eastAsia="Arial" w:hAnsi="Arial"/>
          <w:color w:val="2E5B8A"/>
          <w:sz w:val="28"/>
          <w:szCs w:val="28"/>
        </w:rPr>
        <w:t xml:space="preserve">PARTIE 1</w:t>
      </w:r>
    </w:p>
    <w:p>
      <w:pPr>
        <w:spacing w:after="600"/>
        <w:jc w:val="center"/>
      </w:pPr>
      <w:r>
        <w:rPr>
          <w:rFonts w:ascii="Arial" w:cs="Arial" w:eastAsia="Arial" w:hAnsi="Arial"/>
          <w:b/>
          <w:bCs/>
          <w:color w:val="1E3A5F"/>
          <w:sz w:val="36"/>
          <w:szCs w:val="36"/>
        </w:rPr>
        <w:t xml:space="preserve">LA CRISE DE L'INTÉGRATION</w:t>
      </w:r>
    </w:p>
    <w:p>
      <w:pPr>
        <w:jc w:val="center"/>
      </w:pPr>
      <w:r>
        <w:rPr>
          <w:color w:val="4A90D9"/>
          <w:sz w:val="28"/>
          <w:szCs w:val="28"/>
        </w:rPr>
        <w:t xml:space="preserve">───────────────────────────────</w:t>
      </w:r>
    </w:p>
    <w:p>
      <w:pPr>
        <w:spacing w:after="800"/>
      </w:pPr>
    </w:p>
    <w:p>
      <w:pPr>
        <w:spacing w:after="200"/>
        <w:jc w:val="center"/>
      </w:pPr>
      <w:r>
        <w:rPr>
          <w:rFonts w:ascii="Arial" w:cs="Arial" w:eastAsia="Arial" w:hAnsi="Arial"/>
          <w:color w:val="2E5B8A"/>
          <w:sz w:val="32"/>
          <w:szCs w:val="32"/>
        </w:rPr>
        <w:t xml:space="preserve">CHAPITRE I.3</w:t>
      </w:r>
    </w:p>
    <w:p>
      <w:pPr>
        <w:spacing w:after="300"/>
        <w:jc w:val="center"/>
      </w:pPr>
      <w:r>
        <w:rPr>
          <w:rFonts w:ascii="Arial" w:cs="Arial" w:eastAsia="Arial" w:hAnsi="Arial"/>
          <w:b/>
          <w:bCs/>
          <w:color w:val="1E3A5F"/>
          <w:sz w:val="40"/>
          <w:szCs w:val="40"/>
        </w:rPr>
        <w:t xml:space="preserve">CADRES DE RÉFÉRENCE, STANDARDS</w:t>
      </w:r>
    </w:p>
    <w:p>
      <w:pPr>
        <w:spacing w:after="100"/>
        <w:jc w:val="center"/>
      </w:pPr>
      <w:r>
        <w:rPr>
          <w:rFonts w:ascii="Arial" w:cs="Arial" w:eastAsia="Arial" w:hAnsi="Arial"/>
          <w:b/>
          <w:bCs/>
          <w:color w:val="1E3A5F"/>
          <w:sz w:val="40"/>
          <w:szCs w:val="40"/>
        </w:rPr>
        <w:t xml:space="preserve">ET MODÈLES DE MATURITÉ</w:t>
      </w:r>
    </w:p>
    <w:p>
      <w:pPr>
        <w:spacing w:after="3500"/>
      </w:pPr>
    </w:p>
    <w:p>
      <w:pPr>
        <w:spacing w:after="200"/>
        <w:jc w:val="center"/>
      </w:pPr>
      <w:r>
        <w:rPr>
          <w:rFonts w:ascii="Arial" w:cs="Arial" w:eastAsia="Arial" w:hAnsi="Arial"/>
          <w:i/>
          <w:iCs/>
          <w:color w:val="2E5B8A"/>
          <w:sz w:val="24"/>
          <w:szCs w:val="24"/>
        </w:rPr>
        <w:t xml:space="preserve">Volume I : Fondations de l'Entreprise Agentique</w:t>
      </w:r>
    </w:p>
    <w:p>
      <w:pPr>
        <w:sectPr>
          <w:pgSz w:w="12240" w:h="15840" w:orient="portrait"/>
          <w:pgMar w:top="1440" w:right="1440" w:bottom="1440" w:left="1440" w:header="708" w:footer="708" w:gutter="0"/>
          <w:pgNumType/>
          <w:docGrid w:linePitch="360"/>
        </w:sectPr>
      </w:pPr>
    </w:p>
    <w:p>
      <w:pPr>
        <w:pStyle w:val="Heading1"/>
      </w:pPr>
      <w:r>
        <w:t xml:space="preserve">CHAPITRE I.3 — CADRES DE RÉFÉRENCE, STANDARDS ET MODÈLES DE MATURITÉ</w:t>
      </w:r>
    </w:p>
    <w:p>
      <w:pPr>
        <w:spacing w:after="200" w:line="276"/>
        <w:jc w:val="both"/>
      </w:pPr>
      <w:r>
        <w:rPr>
          <w:rFonts w:ascii="Arial" w:cs="Arial" w:eastAsia="Arial" w:hAnsi="Arial"/>
          <w:sz w:val="24"/>
          <w:szCs w:val="24"/>
        </w:rPr>
        <w:t xml:space="preserve">Les chapitres précédents ont établi le diagnostic de la crise de l'intégration et posé les fondements conceptuels de l'interopérabilité. Pour transformer ces concepts en pratique, les organisations ont besoin d'outils méthodologiques : des cadres de référence qui structurent la réflexion, des standards qui garantissent la cohérence, des modèles de maturité qui permettent d'évaluer la progression.</w:t>
      </w:r>
    </w:p>
    <w:p>
      <w:pPr>
        <w:spacing w:after="200" w:line="276"/>
        <w:jc w:val="both"/>
      </w:pPr>
      <w:r>
        <w:rPr>
          <w:rFonts w:ascii="Arial" w:cs="Arial" w:eastAsia="Arial" w:hAnsi="Arial"/>
          <w:sz w:val="24"/>
          <w:szCs w:val="24"/>
        </w:rPr>
        <w:t xml:space="preserve">Ce chapitre cartographie les principaux cadres et modèles disponibles. L'objectif n'est pas l'exhaustivité encyclopédique mais la compréhension des logiques sous-jacentes et des apports spécifiques de chaque approche. Les praticiens trouveront ici les repères nécessaires pour sélectionner et adapter les outils pertinents à leur contexte.</w:t>
      </w:r>
    </w:p>
    <w:p>
      <w:pPr>
        <w:spacing w:after="200" w:line="276"/>
        <w:jc w:val="both"/>
      </w:pPr>
      <w:r>
        <w:rPr>
          <w:rFonts w:ascii="Arial" w:cs="Arial" w:eastAsia="Arial" w:hAnsi="Arial"/>
          <w:sz w:val="24"/>
          <w:szCs w:val="24"/>
        </w:rPr>
        <w:t xml:space="preserve">Nous examinerons d'abord le rôle fondamental des standards ouverts dans la construction des écosystèmes numériques. Nous présenterons ensuite les principaux cadres d'interopérabilité, notamment le Cadre Européen d'Interopérabilité (EIF) et le Framework for Enterprise Interoperability (FEI). Nous analyserons les modèles de maturité qui permettent d'évaluer et de piloter la progression. Enfin, nous détaillerons le modèle LCIM (Levels of Conceptual Interoperability Model), particulièrement pertinent pour l'entreprise agentique.</w:t>
      </w:r>
    </w:p>
    <w:p>
      <w:pPr>
        <w:pStyle w:val="Heading2"/>
      </w:pPr>
      <w:r>
        <w:t xml:space="preserve">I.3.1 Le Rôle Crucial des Standards Ouverts dans les Écosystèmes Numériques</w:t>
      </w:r>
    </w:p>
    <w:p>
      <w:pPr>
        <w:spacing w:after="200" w:line="276"/>
        <w:jc w:val="both"/>
      </w:pPr>
      <w:r>
        <w:rPr>
          <w:rFonts w:ascii="Arial" w:cs="Arial" w:eastAsia="Arial" w:hAnsi="Arial"/>
          <w:sz w:val="24"/>
          <w:szCs w:val="24"/>
        </w:rPr>
        <w:t xml:space="preserve">L'interopérabilité repose fondamentalement sur le partage de conventions communes. Ces conventions, lorsqu'elles sont formalisées, documentées et accessibles, constituent des standards. La nature de ces standards — ouverts ou propriétaires — détermine largement la dynamique des écosystèmes numériques.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Standard ouvert : Spécification technique publiquement accessible, développée selon un processus transparent et collaboratif, librement implémentable sans contrainte juridique ou financière prohibitive, et maintenue par une organisation inclusive représentant les parties prenantes.</w:t>
            </w:r>
          </w:p>
        </w:tc>
      </w:tr>
    </w:tbl>
    <w:p>
      <w:pPr>
        <w:spacing w:after="200"/>
      </w:pP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standards ouverts</w:t>
      </w:r>
      <w:r>
        <w:rPr>
          <w:rFonts w:ascii="Arial" w:cs="Arial" w:eastAsia="Arial" w:hAnsi="Arial"/>
          <w:sz w:val="24"/>
          <w:szCs w:val="24"/>
        </w:rPr>
        <w:t xml:space="preserve"> créent les conditions de l'innovation distribuée. Lorsque les règles du jeu sont publiques, tout acteur peut développer des solutions conformes sans demander d'autorisation. La compétition porte sur la qualité de l'implémentation, non sur le contrôle des spécifications. Les utilisateurs conservent leur liberté de choix et évitent l'enfermement propriétaire (vendor lock-in).</w:t>
      </w:r>
    </w:p>
    <w:p>
      <w:pPr>
        <w:spacing w:after="200" w:line="276"/>
        <w:jc w:val="both"/>
      </w:pPr>
      <w:r>
        <w:rPr>
          <w:rFonts w:ascii="Arial" w:cs="Arial" w:eastAsia="Arial" w:hAnsi="Arial"/>
          <w:sz w:val="24"/>
          <w:szCs w:val="24"/>
        </w:rPr>
        <w:t xml:space="preserve">L'histoire d'Internet illustre la puissance des standards ouverts. Les protocoles TCP/IP, HTTP, HTML, développés selon des processus ouverts, ont permis l'émergence d'un écosystème d'une richesse inégalée. Aucun acteur unique ne contrôle Internet; c'est précisément cette absence de contrôle central qui a favorisé l'innovation explosive.</w:t>
      </w:r>
    </w:p>
    <w:p>
      <w:pPr>
        <w:spacing w:after="200" w:line="276"/>
        <w:jc w:val="both"/>
      </w:pPr>
      <w:r>
        <w:rPr>
          <w:rFonts w:ascii="Arial" w:cs="Arial" w:eastAsia="Arial" w:hAnsi="Arial"/>
          <w:sz w:val="24"/>
          <w:szCs w:val="24"/>
        </w:rPr>
        <w:t xml:space="preserve">À l'inverse, les </w:t>
      </w:r>
      <w:r>
        <w:rPr>
          <w:rFonts w:ascii="Arial" w:cs="Arial" w:eastAsia="Arial" w:hAnsi="Arial"/>
          <w:b/>
          <w:bCs/>
          <w:sz w:val="24"/>
          <w:szCs w:val="24"/>
        </w:rPr>
        <w:t xml:space="preserve">standards propriétaires</w:t>
      </w:r>
      <w:r>
        <w:rPr>
          <w:rFonts w:ascii="Arial" w:cs="Arial" w:eastAsia="Arial" w:hAnsi="Arial"/>
          <w:sz w:val="24"/>
          <w:szCs w:val="24"/>
        </w:rPr>
        <w:t xml:space="preserve"> créent des dépendances asymétriques. L'éditeur qui contrôle le standard contrôle l'écosystème. Les utilisateurs doivent s'adapter aux évolutions décidées unilatéralement. Les concurrents sont structurellement désavantagés. Cette dynamique peut être efficace à court terme mais s'avère généralement sous-optimale pour l'écosystème dans son ensemble.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Le choix entre standards ouverts et propriétaires est stratégique pour l'entreprise agentique. Les agents cognitifs, pour collaborer dans un maillage ouvert, doivent s'appuyer sur des protocoles d'interaction standardisés. Les protocoles émergents comme A2A (Agent-to-Agent) et MCP (Model Context Protocol), analysés au Chapitre I.15, s'inscrivent dans cette logique d'ouverture.</w:t>
            </w:r>
          </w:p>
        </w:tc>
      </w:tr>
    </w:tbl>
    <w:p>
      <w:pPr>
        <w:spacing w:after="200"/>
      </w:pPr>
    </w:p>
    <w:p>
      <w:pPr>
        <w:spacing w:after="200" w:line="276"/>
        <w:jc w:val="both"/>
      </w:pPr>
      <w:r>
        <w:rPr>
          <w:rFonts w:ascii="Arial" w:cs="Arial" w:eastAsia="Arial" w:hAnsi="Arial"/>
          <w:sz w:val="24"/>
          <w:szCs w:val="24"/>
        </w:rPr>
        <w:t xml:space="preserve">Les organisations de standardisation jouent un rôle crucial dans cet écosystème. L'ISO (Organisation internationale de normalisation), l'IEEE (Institute of Electrical and Electronics Engineers), le W3C (World Wide Web Consortium), l'IETF (Internet Engineering Task Force) et OASIS développent et maintiennent les standards qui structurent le monde numérique. Leurs processus, bien que parfois lents, garantissent la légitimité et la pérennité des spécifications produites.</w:t>
      </w:r>
    </w:p>
    <w:p>
      <w:pPr>
        <w:spacing w:after="200" w:line="276"/>
        <w:jc w:val="both"/>
      </w:pPr>
      <w:r>
        <w:rPr>
          <w:rFonts w:ascii="Arial" w:cs="Arial" w:eastAsia="Arial" w:hAnsi="Arial"/>
          <w:sz w:val="24"/>
          <w:szCs w:val="24"/>
        </w:rPr>
        <w:t xml:space="preserve">Dans le domaine de l'interopérabilité d'entreprise, plusieurs standards méritent une attention particulière. </w:t>
      </w:r>
      <w:r>
        <w:rPr>
          <w:rFonts w:ascii="Arial" w:cs="Arial" w:eastAsia="Arial" w:hAnsi="Arial"/>
          <w:b/>
          <w:bCs/>
          <w:sz w:val="24"/>
          <w:szCs w:val="24"/>
        </w:rPr>
        <w:t xml:space="preserve">AsyncAPI</w:t>
      </w:r>
      <w:r>
        <w:rPr>
          <w:rFonts w:ascii="Arial" w:cs="Arial" w:eastAsia="Arial" w:hAnsi="Arial"/>
          <w:sz w:val="24"/>
          <w:szCs w:val="24"/>
        </w:rPr>
        <w:t xml:space="preserve"> standardise la description des interfaces événementielles, comme OpenAPI le fait pour les API REST. </w:t>
      </w:r>
      <w:r>
        <w:rPr>
          <w:rFonts w:ascii="Arial" w:cs="Arial" w:eastAsia="Arial" w:hAnsi="Arial"/>
          <w:b/>
          <w:bCs/>
          <w:sz w:val="24"/>
          <w:szCs w:val="24"/>
        </w:rPr>
        <w:t xml:space="preserve">CloudEvents</w:t>
      </w:r>
      <w:r>
        <w:rPr>
          <w:rFonts w:ascii="Arial" w:cs="Arial" w:eastAsia="Arial" w:hAnsi="Arial"/>
          <w:sz w:val="24"/>
          <w:szCs w:val="24"/>
        </w:rPr>
        <w:t xml:space="preserve"> propose un format commun pour les événements dans les environnements infonuagiques. </w:t>
      </w:r>
      <w:r>
        <w:rPr>
          <w:rFonts w:ascii="Arial" w:cs="Arial" w:eastAsia="Arial" w:hAnsi="Arial"/>
          <w:b/>
          <w:bCs/>
          <w:sz w:val="24"/>
          <w:szCs w:val="24"/>
        </w:rPr>
        <w:t xml:space="preserve">Apache Avro</w:t>
      </w:r>
      <w:r>
        <w:rPr>
          <w:rFonts w:ascii="Arial" w:cs="Arial" w:eastAsia="Arial" w:hAnsi="Arial"/>
          <w:sz w:val="24"/>
          <w:szCs w:val="24"/>
        </w:rPr>
        <w:t xml:space="preserve"> et </w:t>
      </w:r>
      <w:r>
        <w:rPr>
          <w:rFonts w:ascii="Arial" w:cs="Arial" w:eastAsia="Arial" w:hAnsi="Arial"/>
          <w:b/>
          <w:bCs/>
          <w:sz w:val="24"/>
          <w:szCs w:val="24"/>
        </w:rPr>
        <w:t xml:space="preserve">Protocol Buffers</w:t>
      </w:r>
      <w:r>
        <w:rPr>
          <w:rFonts w:ascii="Arial" w:cs="Arial" w:eastAsia="Arial" w:hAnsi="Arial"/>
          <w:sz w:val="24"/>
          <w:szCs w:val="24"/>
        </w:rPr>
        <w:t xml:space="preserve"> offrent des formats de sérialisation efficaces avec gestion des schémas. Ces standards techniques seront détaillés dans la Partie 2.</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L'adoption d'Apache Kafka comme backbone événementiel par des milliers d'organisations illustre la dynamique des standards ouverts. Kafka, projet open source de la fondation Apache, a créé un écosystème riche de connecteurs, d'outils et de compétences. Les organisations peuvent choisir entre l'auto-hébergement et des offres managées (Confluent, Amazon MSK, Azure Event Hubs) sans enfermement propriétaire, car le protocole reste ouvert.</w:t>
            </w:r>
          </w:p>
        </w:tc>
      </w:tr>
    </w:tbl>
    <w:p>
      <w:pPr>
        <w:spacing w:after="200"/>
      </w:pPr>
    </w:p>
    <w:p>
      <w:pPr>
        <w:pStyle w:val="Heading2"/>
      </w:pPr>
      <w:r>
        <w:t xml:space="preserve">I.3.2 Cartographie des Cadres d'Interopérabilité</w:t>
      </w:r>
    </w:p>
    <w:p>
      <w:pPr>
        <w:spacing w:after="200" w:line="276"/>
        <w:jc w:val="both"/>
      </w:pPr>
      <w:r>
        <w:rPr>
          <w:rFonts w:ascii="Arial" w:cs="Arial" w:eastAsia="Arial" w:hAnsi="Arial"/>
          <w:sz w:val="24"/>
          <w:szCs w:val="24"/>
        </w:rPr>
        <w:t xml:space="preserve">Au-delà des standards techniques, les organisations ont besoin de cadres conceptuels qui structurent leur approche globale de l'interopérabilité. Ces cadres fournissent un vocabulaire commun, une taxonomie des dimensions à considérer, des principes directeurs pour orienter les décisions. Nous examinons ici les deux cadres les plus influents.</w:t>
      </w:r>
    </w:p>
    <w:p>
      <w:pPr>
        <w:pStyle w:val="Heading3"/>
      </w:pPr>
      <w:r>
        <w:t xml:space="preserve">I.3.2.1 Le Cadre Européen d'Interopérabilité (EIF)</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Cadre Européen d'Interopérabilité (European Interoperability Framework ou EIF)</w:t>
      </w:r>
      <w:r>
        <w:rPr>
          <w:rFonts w:ascii="Arial" w:cs="Arial" w:eastAsia="Arial" w:hAnsi="Arial"/>
          <w:sz w:val="24"/>
          <w:szCs w:val="24"/>
        </w:rPr>
        <w:t xml:space="preserve"> constitue la référence pour les administrations publiques européennes et, par extension, pour de nombreuses organisations privées. Développé par la Commission européenne, il a connu plusieurs versions, la plus récente datant de 2017 avec des mises à jour en cours pour intégrer les enjeux de l'intelligence artificielle.</w:t>
      </w:r>
    </w:p>
    <w:p>
      <w:pPr>
        <w:spacing w:after="200" w:line="276"/>
        <w:jc w:val="both"/>
      </w:pPr>
      <w:r>
        <w:rPr>
          <w:rFonts w:ascii="Arial" w:cs="Arial" w:eastAsia="Arial" w:hAnsi="Arial"/>
          <w:sz w:val="24"/>
          <w:szCs w:val="24"/>
        </w:rPr>
        <w:t xml:space="preserve">L'EIF s'articule autour de quatre couches d'interopérabilité que nous avons introduites au chapitre précédent : juridique, organisationnelle, sémantique et technique. Sa contribution distinctive réside dans l'articulation de ces couches avec des principes directeurs et un modèle conceptuel global.</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Cadre Européen d'Interopérabilité (EIF) : Ensemble de recommandations spécifiant comment les administrations, les entreprises et les citoyens communiquent entre eux au sein de l'Union européenne et au-delà. Il fournit des orientations pour la mise en place de services publics européens interopérables.</w:t>
            </w:r>
          </w:p>
        </w:tc>
      </w:tr>
    </w:tbl>
    <w:p>
      <w:pPr>
        <w:spacing w:after="200"/>
      </w:pPr>
    </w:p>
    <w:p>
      <w:pPr>
        <w:spacing w:after="200" w:line="276"/>
        <w:jc w:val="both"/>
      </w:pPr>
      <w:r>
        <w:rPr>
          <w:rFonts w:ascii="Arial" w:cs="Arial" w:eastAsia="Arial" w:hAnsi="Arial"/>
          <w:sz w:val="24"/>
          <w:szCs w:val="24"/>
        </w:rPr>
        <w:t xml:space="preserve">L'EIF définit douze principes fondamentaux qui guident les décisions d'interopérabilité. Ces principes incluent la subsidiarité (décider au niveau le plus approprié), l'ouverture (privilégier les standards ouverts), la transparence (documenter les interfaces), la réutilisabilité (concevoir pour la réutilisation), la neutralité technologique (éviter les dépendances) et la centricité utilisateur (placer les besoins des utilisateurs au centre).</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modèle conceptuel de l'EIF</w:t>
      </w:r>
      <w:r>
        <w:rPr>
          <w:rFonts w:ascii="Arial" w:cs="Arial" w:eastAsia="Arial" w:hAnsi="Arial"/>
          <w:sz w:val="24"/>
          <w:szCs w:val="24"/>
        </w:rPr>
        <w:t xml:space="preserve"> distingue les services publics intégrés (integrated public services), les composants de base réutilisables (base registries, shared services), les sources de données authentiques et les catalogues qui facilitent la découverte. Cette architecture en couches favorise la mutualisation et évite les duplications.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Le projet « Once Only Principle » de l'Union européenne illustre l'application de l'EIF. Ce principe stipule que les citoyens et entreprises ne devraient fournir une information qu'une seule fois à l'administration, celle-ci se chargeant de la partager entre services. La mise en œuvre exige une interopérabilité complète : technique (échanges sécurisés), sémantique (compréhension commune des données), organisationnelle (processus coordonnés) et juridique (bases légales pour le partage).</w:t>
            </w:r>
          </w:p>
        </w:tc>
      </w:tr>
    </w:tbl>
    <w:p>
      <w:pPr>
        <w:spacing w:after="200"/>
      </w:pPr>
    </w:p>
    <w:p>
      <w:pPr>
        <w:spacing w:after="200" w:line="276"/>
        <w:jc w:val="both"/>
      </w:pPr>
      <w:r>
        <w:rPr>
          <w:rFonts w:ascii="Arial" w:cs="Arial" w:eastAsia="Arial" w:hAnsi="Arial"/>
          <w:sz w:val="24"/>
          <w:szCs w:val="24"/>
        </w:rPr>
        <w:t xml:space="preserve">La pertinence de l'EIF dépasse le secteur public. Ses principes et son modèle en couches s'appliquent à toute organisation cherchant à structurer sa démarche d'interopérabilité. Les entreprises privées peuvent s'en inspirer pour établir leurs propres cadres internes, adaptés à leur contexte spécifique.</w:t>
      </w:r>
    </w:p>
    <w:p>
      <w:pPr>
        <w:pStyle w:val="Heading3"/>
      </w:pPr>
      <w:r>
        <w:t xml:space="preserve">I.3.2.2 Le Framework for Enterprise Interoperability (FEI)</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Framework for Enterprise Interoperability (FEI)</w:t>
      </w:r>
      <w:r>
        <w:rPr>
          <w:rFonts w:ascii="Arial" w:cs="Arial" w:eastAsia="Arial" w:hAnsi="Arial"/>
          <w:sz w:val="24"/>
          <w:szCs w:val="24"/>
        </w:rPr>
        <w:t xml:space="preserve">, normalisé par l'ISO (ISO 11354) et le CEN (CEN/ISO 11354), propose une approche complémentaire à l'EIF. Là où l'EIF se concentre sur les services publics et adopte une perspective pragmatique, le FEI offre un cadre plus formel et générique, applicable à tout contexte d'entreprise.</w:t>
      </w:r>
    </w:p>
    <w:p>
      <w:pPr>
        <w:spacing w:after="200" w:line="276"/>
        <w:jc w:val="both"/>
      </w:pPr>
      <w:r>
        <w:rPr>
          <w:rFonts w:ascii="Arial" w:cs="Arial" w:eastAsia="Arial" w:hAnsi="Arial"/>
          <w:sz w:val="24"/>
          <w:szCs w:val="24"/>
        </w:rPr>
        <w:t xml:space="preserve">Le FEI structure l'interopérabilité selon trois dimensions orthogonales : les barrières à l'interopérabilité, les préoccupations d'entreprise et les approches d'interopérabilité. Cette structure tridimensionnelle permet une analyse fine des défis et des solutions.</w:t>
      </w:r>
    </w:p>
    <w:p>
      <w:pPr>
        <w:spacing w:after="150"/>
      </w:pPr>
    </w:p>
    <w:p>
      <w:pPr>
        <w:spacing w:after="150"/>
      </w:pPr>
      <w:r>
        <w:rPr>
          <w:rFonts w:ascii="Arial" w:cs="Arial" w:eastAsia="Arial" w:hAnsi="Arial"/>
          <w:b/>
          <w:bCs/>
          <w:sz w:val="24"/>
          <w:szCs w:val="24"/>
        </w:rPr>
        <w:t xml:space="preserve">Les trois types de barrières selon le FEI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 de barrière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Conceptuelle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Incompatibilités dans les modèles, les représentations et les définitions utilisés par les différentes parties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Technologique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Incompatibilités dans les technologies, plateformes, protocoles et formats de données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Organisationnelle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Incompatibilités dans les structures, responsabilités, processus et cultures des organisations</w:t>
            </w:r>
          </w:p>
        </w:tc>
      </w:tr>
    </w:tbl>
    <w:p>
      <w:pPr>
        <w:spacing w:after="200"/>
      </w:pP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préoccupations d'entreprise</w:t>
      </w:r>
      <w:r>
        <w:rPr>
          <w:rFonts w:ascii="Arial" w:cs="Arial" w:eastAsia="Arial" w:hAnsi="Arial"/>
          <w:sz w:val="24"/>
          <w:szCs w:val="24"/>
        </w:rPr>
        <w:t xml:space="preserve"> du FEI couvrent quatre niveaux : métier (stratégies, modèles d'affaires), processus (workflows, procédures), service (fonctionnalités exposées) et données (informations échangées). Chaque niveau peut être affecté par les trois types de barrières, créant une matrice d'analyse des défis d'interopérabilité.</w:t>
      </w: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approches d'interopérabilité</w:t>
      </w:r>
      <w:r>
        <w:rPr>
          <w:rFonts w:ascii="Arial" w:cs="Arial" w:eastAsia="Arial" w:hAnsi="Arial"/>
          <w:sz w:val="24"/>
          <w:szCs w:val="24"/>
        </w:rPr>
        <w:t xml:space="preserve"> proposées par le FEI distinguent trois stratégies : intégrée (fusion des systèmes), unifiée (couche commune d'abstraction) et fédérée (conventions partagées sans centralisation). Cette dernière approche correspond à la vision de l'interopérabilité par couplage lâche défendue dans cette monographie.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L'approche fédérée du FEI résonne avec l'architecture de l'entreprise agentique. Le maillage agentique (Agentic Mesh) repose précisément sur cette logique : des agents autonomes collaborant via des conventions partagées, sans fusion ni couche centrale unificatrice. Le FEI fournit ainsi un cadre conceptuel pour penser l'interopérabilité agentique.</w:t>
            </w:r>
          </w:p>
        </w:tc>
      </w:tr>
    </w:tbl>
    <w:p>
      <w:pPr>
        <w:spacing w:after="200"/>
      </w:pPr>
    </w:p>
    <w:p>
      <w:r>
        <w:br w:type="page"/>
      </w:r>
    </w:p>
    <w:p>
      <w:pPr>
        <w:pStyle w:val="Heading2"/>
      </w:pPr>
      <w:r>
        <w:t xml:space="preserve">I.3.3 Analyse Comparative des Modèles de Maturité</w:t>
      </w:r>
    </w:p>
    <w:p>
      <w:pPr>
        <w:spacing w:after="200" w:line="276"/>
        <w:jc w:val="both"/>
      </w:pPr>
      <w:r>
        <w:rPr>
          <w:rFonts w:ascii="Arial" w:cs="Arial" w:eastAsia="Arial" w:hAnsi="Arial"/>
          <w:sz w:val="24"/>
          <w:szCs w:val="24"/>
        </w:rPr>
        <w:t xml:space="preserve">Les cadres d'interopérabilité définissent les dimensions à considérer; les modèles de maturité permettent d'évaluer le niveau atteint sur chaque dimension et de piloter la progression. Ces modèles structurent généralement la maturité en niveaux discrets, du plus primitif au plus avancé.</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Modèle de maturité : Cadre d'évaluation structuré en niveaux progressifs, permettant à une organisation d'identifier son état actuel sur une dimension donnée, de définir un état cible et de planifier la progression à travers des étapes intermédiaires clairement définies.</w:t>
            </w:r>
          </w:p>
        </w:tc>
      </w:tr>
    </w:tbl>
    <w:p>
      <w:pPr>
        <w:spacing w:after="200"/>
      </w:pP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modèle CMMI (Capability Maturity Model Integration)</w:t>
      </w:r>
      <w:r>
        <w:rPr>
          <w:rFonts w:ascii="Arial" w:cs="Arial" w:eastAsia="Arial" w:hAnsi="Arial"/>
          <w:sz w:val="24"/>
          <w:szCs w:val="24"/>
        </w:rPr>
        <w:t xml:space="preserve">, bien que conçu initialement pour le développement logiciel, a inspiré de nombreux modèles de maturité dans le domaine de l'interopérabilité. Sa structure en cinq niveaux — initial, géré, défini, quantitativement géré, optimisé — offre un archétype réutilisable.</w:t>
      </w:r>
    </w:p>
    <w:p>
      <w:pPr>
        <w:spacing w:after="200" w:line="276"/>
        <w:jc w:val="both"/>
      </w:pPr>
      <w:r>
        <w:rPr>
          <w:rFonts w:ascii="Arial" w:cs="Arial" w:eastAsia="Arial" w:hAnsi="Arial"/>
          <w:sz w:val="24"/>
          <w:szCs w:val="24"/>
        </w:rPr>
        <w:t xml:space="preserve">Dans le domaine spécifique de l'interopérabilité, plusieurs modèles ont été développés. Le Organizational Interoperability Maturity Model (OIM) évalue la capacité des organisations à collaborer. Le Interoperability Maturity Model (IMM) de la Commission européenne accompagne l'EIF. L'Enterprise Interoperability Maturity Model (EIMM) propose une vision intégrée couvrant les dimensions du FEI.</w:t>
      </w:r>
    </w:p>
    <w:p>
      <w:pPr>
        <w:spacing w:after="150"/>
      </w:pPr>
    </w:p>
    <w:p>
      <w:pPr>
        <w:spacing w:after="150"/>
      </w:pPr>
      <w:r>
        <w:rPr>
          <w:rFonts w:ascii="Arial" w:cs="Arial" w:eastAsia="Arial" w:hAnsi="Arial"/>
          <w:b/>
          <w:bCs/>
          <w:sz w:val="24"/>
          <w:szCs w:val="24"/>
        </w:rPr>
        <w:t xml:space="preserve">Comparaison des principaux modèles de maturité en interopérabilité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Modèle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Focus principal</w:t>
            </w:r>
          </w:p>
        </w:tc>
        <w:tc>
          <w:tcPr>
            <w:tcW w:type="dxa" w:w="250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Niveaux</w:t>
            </w:r>
          </w:p>
        </w:tc>
        <w:tc>
          <w:tcPr>
            <w:tcW w:type="dxa" w:w="256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Contexte d'usage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OIM</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Collaboration organisationnelle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5 niveaux (Ad hoc → Optimisé)</w:t>
            </w:r>
          </w:p>
        </w:tc>
        <w:tc>
          <w:tcPr>
            <w:tcW w:type="dxa" w:w="2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Inter-organisations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IMM (UE)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Services publics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5 niveaux par couche EIF</w:t>
            </w:r>
          </w:p>
        </w:tc>
        <w:tc>
          <w:tcPr>
            <w:tcW w:type="dxa" w:w="2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Administrations publiques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EIMM</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Entreprise globale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5 niveaux × 4 dimensions FEI</w:t>
            </w:r>
          </w:p>
        </w:tc>
        <w:tc>
          <w:tcPr>
            <w:tcW w:type="dxa" w:w="2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Entreprises privées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LCIM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Interopérabilité conceptuelle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7 niveaux (Technique → Dynamique)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Systèmes complexes</w:t>
            </w:r>
          </w:p>
        </w:tc>
      </w:tr>
    </w:tbl>
    <w:p>
      <w:pPr>
        <w:spacing w:after="200"/>
      </w:pPr>
    </w:p>
    <w:p>
      <w:pPr>
        <w:spacing w:after="200" w:line="276"/>
        <w:jc w:val="both"/>
      </w:pPr>
      <w:r>
        <w:rPr>
          <w:rFonts w:ascii="Arial" w:cs="Arial" w:eastAsia="Arial" w:hAnsi="Arial"/>
          <w:sz w:val="24"/>
          <w:szCs w:val="24"/>
        </w:rPr>
        <w:t xml:space="preserve">L'usage des modèles de maturité requiert discernement. Ils offrent un langage commun pour discuter de la progression et permettent des comparaisons (benchmarking) entre organisations ou unités. Cependant, ils peuvent aussi induire une focalisation excessive sur les niveaux au détriment des résultats métier, ou une rigidité dans l'interprétation de situations par nature contextuelles.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institution financière canadienne a utilisé l'EIMM pour évaluer sa maturité d'interopérabilité avant un programme de modernisation. L'évaluation initiale révélait un niveau 2 (« Défini ») sur la dimension technique, mais seulement un niveau 1 (« Ad hoc ») sur la dimension organisationnelle. Cette asymétrie a orienté les investissements vers la gouvernance et l'alignement des processus, plutôt que vers de nouvelles technologies.</w:t>
            </w:r>
          </w:p>
        </w:tc>
      </w:tr>
    </w:tbl>
    <w:p>
      <w:pPr>
        <w:spacing w:after="200"/>
      </w:pPr>
    </w:p>
    <w:p>
      <w:pPr>
        <w:pStyle w:val="Heading2"/>
      </w:pPr>
      <w:r>
        <w:t xml:space="preserve">I.3.4 Le Modèle LCIM (Levels of Conceptual Interoperability Model)</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Levels of Conceptual Interoperability Model (LCIM)</w:t>
      </w:r>
      <w:r>
        <w:rPr>
          <w:rFonts w:ascii="Arial" w:cs="Arial" w:eastAsia="Arial" w:hAnsi="Arial"/>
          <w:sz w:val="24"/>
          <w:szCs w:val="24"/>
        </w:rPr>
        <w:t xml:space="preserve"> mérite une attention particulière dans le contexte de l'entreprise agentique. Développé initialement pour les systèmes de simulation militaire, ce modèle distingue sept niveaux d'interopérabilité qui tracent une progression du purement technique vers le véritablement cognitif.</w:t>
      </w:r>
    </w:p>
    <w:p>
      <w:pPr>
        <w:spacing w:after="200" w:line="276"/>
        <w:jc w:val="both"/>
      </w:pPr>
      <w:r>
        <w:rPr>
          <w:rFonts w:ascii="Arial" w:cs="Arial" w:eastAsia="Arial" w:hAnsi="Arial"/>
          <w:sz w:val="24"/>
          <w:szCs w:val="24"/>
        </w:rPr>
        <w:t xml:space="preserve">Le LCIM dépasse la dichotomie traditionnelle technique/sémantique en introduisant des niveaux intermédiaires qui capturent les nuances de la compréhension partagée. Cette granularité le rend particulièrement pertinent pour évaluer les systèmes intelligents et les architectures agentiques.</w:t>
      </w:r>
    </w:p>
    <w:p>
      <w:pPr>
        <w:spacing w:after="150"/>
      </w:pPr>
    </w:p>
    <w:p>
      <w:pPr>
        <w:spacing w:after="150"/>
      </w:pPr>
      <w:r>
        <w:rPr>
          <w:rFonts w:ascii="Arial" w:cs="Arial" w:eastAsia="Arial" w:hAnsi="Arial"/>
          <w:b/>
          <w:bCs/>
          <w:sz w:val="24"/>
          <w:szCs w:val="24"/>
        </w:rPr>
        <w:t xml:space="preserve">Les sept niveaux du modèle LCIM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Niveau</w:t>
            </w:r>
          </w:p>
        </w:tc>
        <w:tc>
          <w:tcPr>
            <w:tcW w:type="dxa" w:w="220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Désignation</w:t>
            </w:r>
          </w:p>
        </w:tc>
        <w:tc>
          <w:tcPr>
            <w:tcW w:type="dxa" w:w="5960"/>
            <w:tcBorders>
              <w:top w:val="single" w:color="CCCCCC" w:sz="1"/>
              <w:left w:val="single" w:color="CCCCCC" w:sz="1"/>
              <w:bottom w:val="single" w:color="CCCCCC" w:sz="1"/>
              <w:right w:val="single" w:color="CCCCCC" w:sz="1"/>
            </w:tcBorders>
            <w:shd w:fill="1E3A5F" w:val="clear"/>
            <w:tcMar>
              <w:top w:type="dxa" w:w="100"/>
              <w:left w:type="dxa" w:w="80"/>
              <w:bottom w:type="dxa" w:w="100"/>
              <w:right w:type="dxa" w:w="8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18"/>
                <w:szCs w:val="18"/>
              </w:rPr>
              <w:t xml:space="preserve">0</w:t>
            </w:r>
          </w:p>
        </w:tc>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Aucune</w:t>
            </w:r>
          </w:p>
        </w:tc>
        <w:tc>
          <w:tcPr>
            <w:tcW w:type="dxa" w:w="5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Systèmes isolés, aucune capacité d'échange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Technique</w:t>
            </w:r>
          </w:p>
        </w:tc>
        <w:tc>
          <w:tcPr>
            <w:tcW w:type="dxa" w:w="5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Protocoles de communication établis, échange de bits possible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Syntactique</w:t>
            </w:r>
          </w:p>
        </w:tc>
        <w:tc>
          <w:tcPr>
            <w:tcW w:type="dxa" w:w="5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Format des données défini, structure des messages comprise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Sémantique</w:t>
            </w:r>
          </w:p>
        </w:tc>
        <w:tc>
          <w:tcPr>
            <w:tcW w:type="dxa" w:w="5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Signification des données partagée, vocabulaire commun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Pragmatique</w:t>
            </w:r>
          </w:p>
        </w:tc>
        <w:tc>
          <w:tcPr>
            <w:tcW w:type="dxa" w:w="5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Contexte d'utilisation compris, usage approprié des données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Dynamique</w:t>
            </w:r>
          </w:p>
        </w:tc>
        <w:tc>
          <w:tcPr>
            <w:tcW w:type="dxa" w:w="5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Évolution des états comprise, synchronisation temporelle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Conceptuelle</w:t>
            </w:r>
          </w:p>
        </w:tc>
        <w:tc>
          <w:tcPr>
            <w:tcW w:type="dxa" w:w="5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Hypothèses et contraintes partagées, modèle mental commun</w:t>
            </w:r>
          </w:p>
        </w:tc>
      </w:tr>
    </w:tbl>
    <w:p>
      <w:pPr>
        <w:spacing w:after="200"/>
      </w:pP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niveau 4 (Pragmatique)</w:t>
      </w:r>
      <w:r>
        <w:rPr>
          <w:rFonts w:ascii="Arial" w:cs="Arial" w:eastAsia="Arial" w:hAnsi="Arial"/>
          <w:sz w:val="24"/>
          <w:szCs w:val="24"/>
        </w:rPr>
        <w:t xml:space="preserve"> marque une transition cruciale. Au-delà de la compréhension du sens, il exige la compréhension de l'usage : pourquoi cette donnée est-elle transmise? Dans quel contexte d'action s'inscrit-elle? Cette dimension pragmatique est précisément ce que l'Interopérabilité Cognitivo-Adaptative (ICA) introduite au Chapitre I.12 cherche à atteindre.</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niveau 5 (Dynamique)</w:t>
      </w:r>
      <w:r>
        <w:rPr>
          <w:rFonts w:ascii="Arial" w:cs="Arial" w:eastAsia="Arial" w:hAnsi="Arial"/>
          <w:sz w:val="24"/>
          <w:szCs w:val="24"/>
        </w:rPr>
        <w:t xml:space="preserve"> intègre la dimension temporelle. Les systèmes ne partagent pas seulement des états statiques mais comprennent mutuellement comment ces états évoluent. Cette compréhension dynamique est essentielle pour les systèmes multi-agents où la coordination temporelle détermine la cohérence des actions collectives.</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niveau 6 (Conceptuel)</w:t>
      </w:r>
      <w:r>
        <w:rPr>
          <w:rFonts w:ascii="Arial" w:cs="Arial" w:eastAsia="Arial" w:hAnsi="Arial"/>
          <w:sz w:val="24"/>
          <w:szCs w:val="24"/>
        </w:rPr>
        <w:t xml:space="preserve"> représente l'horizon ultime : le partage d'un modèle mental commun incluant les hypothèses implicites, les contraintes non exprimées, les objectifs sous-jacents. C'est le niveau auquel aspirent les agents cognitifs véritablement collaboratifs, capables de s'aligner non seulement sur les données mais sur les intentions.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Le LCIM offre une grille de lecture particulièrement adaptée à l'évaluation des systèmes agentiques. Les niveaux 4 à 6 correspondent précisément aux capacités que l'entreprise agentique cherche à développer : compréhension du contexte, synchronisation dynamique, alignement des modèles mentaux. L'APM Cognitif présenté au Chapitre I.22 s'inspire de cette gradation pour évaluer le potentiel d'agentification des composants applicatifs.</w:t>
            </w:r>
          </w:p>
        </w:tc>
      </w:tr>
    </w:tbl>
    <w:p>
      <w:pPr>
        <w:spacing w:after="200"/>
      </w:pPr>
    </w:p>
    <w:p>
      <w:pPr>
        <w:spacing w:after="200" w:line="276"/>
        <w:jc w:val="both"/>
      </w:pPr>
      <w:r>
        <w:rPr>
          <w:rFonts w:ascii="Arial" w:cs="Arial" w:eastAsia="Arial" w:hAnsi="Arial"/>
          <w:sz w:val="24"/>
          <w:szCs w:val="24"/>
        </w:rPr>
        <w:t xml:space="preserve">L'application du LCIM exige de reconnaître que les niveaux supérieurs sont rarement atteints par les technologies actuelles. La plupart des systèmes d'information opèrent aux niveaux 2-3 (syntactique/sémantique). Les niveaux 4-6 restent largement aspirationnels, quoique les avancées en intelligence artificielle ouvrent de nouvelles possibilités que nous explorerons dans la Partie 3.</w:t>
      </w:r>
    </w:p>
    <w:p>
      <w:r>
        <w:br w:type="page"/>
      </w:r>
    </w:p>
    <w:p>
      <w:pPr>
        <w:pStyle w:val="Heading2"/>
      </w:pPr>
      <w:r>
        <w:t xml:space="preserve">I.3.5 Conclusion : Structurer la Démarche d'Interopérabilité</w:t>
      </w:r>
    </w:p>
    <w:p>
      <w:pPr>
        <w:spacing w:after="200" w:line="276"/>
        <w:jc w:val="both"/>
      </w:pPr>
      <w:r>
        <w:rPr>
          <w:rFonts w:ascii="Arial" w:cs="Arial" w:eastAsia="Arial" w:hAnsi="Arial"/>
          <w:sz w:val="24"/>
          <w:szCs w:val="24"/>
        </w:rPr>
        <w:t xml:space="preserve">Ce chapitre a présenté les principaux outils méthodologiques disponibles pour structurer une démarche d'interopérabilité. Les standards ouverts établissent les conventions techniques partagées. Les cadres comme l'EIF et le FEI fournissent les structures conceptuelles. Les modèles de maturité permettent l'évaluation et le pilotage de la progression.</w:t>
      </w:r>
    </w:p>
    <w:p>
      <w:pPr>
        <w:spacing w:after="200" w:line="276"/>
        <w:jc w:val="both"/>
      </w:pPr>
      <w:r>
        <w:rPr>
          <w:rFonts w:ascii="Arial" w:cs="Arial" w:eastAsia="Arial" w:hAnsi="Arial"/>
          <w:sz w:val="24"/>
          <w:szCs w:val="24"/>
        </w:rPr>
        <w:t xml:space="preserve">Ces outils ne sont pas des fins en soi. Leur valeur réside dans leur capacité à orienter l'action, à créer un langage commun entre parties prenantes, à éviter les erreurs récurrentes. Les organisations les plus matures les adaptent à leur contexte plutôt que de les appliquer mécaniquement.</w:t>
      </w:r>
    </w:p>
    <w:p>
      <w:pPr>
        <w:spacing w:after="200" w:line="276"/>
        <w:jc w:val="both"/>
      </w:pPr>
      <w:r>
        <w:rPr>
          <w:rFonts w:ascii="Arial" w:cs="Arial" w:eastAsia="Arial" w:hAnsi="Arial"/>
          <w:sz w:val="24"/>
          <w:szCs w:val="24"/>
        </w:rPr>
        <w:t xml:space="preserve">Pour l'entreprise agentique, ces cadres traditionnels constituent un point de départ nécessaire mais insuffisant. Le </w:t>
      </w:r>
      <w:r>
        <w:rPr>
          <w:rFonts w:ascii="Arial" w:cs="Arial" w:eastAsia="Arial" w:hAnsi="Arial"/>
          <w:b/>
          <w:bCs/>
          <w:sz w:val="24"/>
          <w:szCs w:val="24"/>
        </w:rPr>
        <w:t xml:space="preserve">LCIM</w:t>
      </w:r>
      <w:r>
        <w:rPr>
          <w:rFonts w:ascii="Arial" w:cs="Arial" w:eastAsia="Arial" w:hAnsi="Arial"/>
          <w:sz w:val="24"/>
          <w:szCs w:val="24"/>
        </w:rPr>
        <w:t xml:space="preserve">, avec ses niveaux pragmatique, dynamique et conceptuel, trace l'horizon vers lequel l'interopérabilité doit évoluer. Les agents cognitifs exigent une compréhension partagée qui dépasse la sémantique statique pour englober les intentions, les contextes et les dynamiques temporelles.</w:t>
      </w:r>
    </w:p>
    <w:p>
      <w:pPr>
        <w:spacing w:after="200" w:line="276"/>
        <w:jc w:val="both"/>
      </w:pPr>
      <w:r>
        <w:rPr>
          <w:rFonts w:ascii="Arial" w:cs="Arial" w:eastAsia="Arial" w:hAnsi="Arial"/>
          <w:sz w:val="24"/>
          <w:szCs w:val="24"/>
        </w:rPr>
        <w:t xml:space="preserve">Ce constat ouvre la voie à la Partie 2 de ce volume, consacrée à l'architecture réactive. Avant de pouvoir envisager l'interopérabilité cognitive des agents, il faut établir le système nerveux numérique qui permettra leur communication : écosystème API, architecture événementielle, contrats de données, observabilité. Ces fondations techniques, analysées dans les six chapitres suivants, sont les prérequis incontournables de l'entreprise agentique.</w:t>
      </w:r>
    </w:p>
    <w:p>
      <w:pPr>
        <w:pStyle w:val="Heading2"/>
      </w:pPr>
      <w:r>
        <w:t xml:space="preserve">I.3.6 Résumé</w:t>
      </w:r>
    </w:p>
    <w:p>
      <w:pPr>
        <w:spacing w:after="200" w:line="276"/>
        <w:jc w:val="both"/>
      </w:pPr>
      <w:r>
        <w:rPr>
          <w:rFonts w:ascii="Arial" w:cs="Arial" w:eastAsia="Arial" w:hAnsi="Arial"/>
          <w:sz w:val="24"/>
          <w:szCs w:val="24"/>
        </w:rPr>
        <w:t xml:space="preserve">Ce chapitre a cartographié les cadres de référence, standards et modèles de maturité qui structurent les démarches d'interopérabilité :</w:t>
      </w:r>
    </w:p>
    <w:p>
      <w:pPr>
        <w:spacing w:after="200" w:line="276"/>
        <w:jc w:val="both"/>
      </w:pPr>
      <w:r>
        <w:rPr>
          <w:rFonts w:ascii="Arial" w:cs="Arial" w:eastAsia="Arial" w:hAnsi="Arial"/>
          <w:b/>
          <w:bCs/>
          <w:sz w:val="24"/>
          <w:szCs w:val="24"/>
        </w:rPr>
        <w:t xml:space="preserve">Les standards ouverts </w:t>
      </w:r>
      <w:r>
        <w:rPr>
          <w:rFonts w:ascii="Arial" w:cs="Arial" w:eastAsia="Arial" w:hAnsi="Arial"/>
          <w:sz w:val="24"/>
          <w:szCs w:val="24"/>
        </w:rPr>
        <w:t xml:space="preserve">sont le fondement des écosystèmes numériques interopérables. Leur caractère public, leur développement collaboratif et leur liberté d'implémentation créent les conditions de l'innovation distribuée. Les protocoles Internet, AsyncAPI, CloudEvents et les formats de sérialisation illustrent leur puissance.</w:t>
      </w:r>
    </w:p>
    <w:p>
      <w:pPr>
        <w:spacing w:after="200" w:line="276"/>
        <w:jc w:val="both"/>
      </w:pPr>
      <w:r>
        <w:rPr>
          <w:rFonts w:ascii="Arial" w:cs="Arial" w:eastAsia="Arial" w:hAnsi="Arial"/>
          <w:b/>
          <w:bCs/>
          <w:sz w:val="24"/>
          <w:szCs w:val="24"/>
        </w:rPr>
        <w:t xml:space="preserve">Le Cadre Européen d'Interopérabilité (EIF) </w:t>
      </w:r>
      <w:r>
        <w:rPr>
          <w:rFonts w:ascii="Arial" w:cs="Arial" w:eastAsia="Arial" w:hAnsi="Arial"/>
          <w:sz w:val="24"/>
          <w:szCs w:val="24"/>
        </w:rPr>
        <w:t xml:space="preserve">structure l'interopérabilité en quatre couches (juridique, organisationnelle, sémantique, technique) et douze principes directeurs. Son modèle conceptuel favorise la mutualisation et la réutilisation. Bien que conçu pour le secteur public, il inspire de nombreuses organisations privées.</w:t>
      </w:r>
    </w:p>
    <w:p>
      <w:pPr>
        <w:spacing w:after="200" w:line="276"/>
        <w:jc w:val="both"/>
      </w:pPr>
      <w:r>
        <w:rPr>
          <w:rFonts w:ascii="Arial" w:cs="Arial" w:eastAsia="Arial" w:hAnsi="Arial"/>
          <w:b/>
          <w:bCs/>
          <w:sz w:val="24"/>
          <w:szCs w:val="24"/>
        </w:rPr>
        <w:t xml:space="preserve">Le Framework for Enterprise Interoperability (FEI) </w:t>
      </w:r>
      <w:r>
        <w:rPr>
          <w:rFonts w:ascii="Arial" w:cs="Arial" w:eastAsia="Arial" w:hAnsi="Arial"/>
          <w:sz w:val="24"/>
          <w:szCs w:val="24"/>
        </w:rPr>
        <w:t xml:space="preserve">propose une structure tridimensionnelle croisant barrières (conceptuelles, technologiques, organisationnelles), préoccupations d'entreprise (métier, processus, service, données) et approches (intégrée, unifiée, fédérée). L'approche fédérée correspond à la vision de l'entreprise agentique.</w:t>
      </w:r>
    </w:p>
    <w:p>
      <w:pPr>
        <w:spacing w:after="200" w:line="276"/>
        <w:jc w:val="both"/>
      </w:pPr>
      <w:r>
        <w:rPr>
          <w:rFonts w:ascii="Arial" w:cs="Arial" w:eastAsia="Arial" w:hAnsi="Arial"/>
          <w:b/>
          <w:bCs/>
          <w:sz w:val="24"/>
          <w:szCs w:val="24"/>
        </w:rPr>
        <w:t xml:space="preserve">Les modèles de maturité </w:t>
      </w:r>
      <w:r>
        <w:rPr>
          <w:rFonts w:ascii="Arial" w:cs="Arial" w:eastAsia="Arial" w:hAnsi="Arial"/>
          <w:sz w:val="24"/>
          <w:szCs w:val="24"/>
        </w:rPr>
        <w:t xml:space="preserve">(OIM, IMM, EIMM) permettent d'évaluer le niveau atteint et de piloter la progression. Ils offrent un langage commun mais doivent être utilisés avec discernement, comme guides plutôt que comme prescriptions rigides.</w:t>
      </w:r>
    </w:p>
    <w:p>
      <w:pPr>
        <w:spacing w:after="200" w:line="276"/>
        <w:jc w:val="both"/>
      </w:pPr>
      <w:r>
        <w:rPr>
          <w:rFonts w:ascii="Arial" w:cs="Arial" w:eastAsia="Arial" w:hAnsi="Arial"/>
          <w:b/>
          <w:bCs/>
          <w:sz w:val="24"/>
          <w:szCs w:val="24"/>
        </w:rPr>
        <w:t xml:space="preserve">Le modèle LCIM </w:t>
      </w:r>
      <w:r>
        <w:rPr>
          <w:rFonts w:ascii="Arial" w:cs="Arial" w:eastAsia="Arial" w:hAnsi="Arial"/>
          <w:sz w:val="24"/>
          <w:szCs w:val="24"/>
        </w:rPr>
        <w:t xml:space="preserve">distingue sept niveaux d'interopérabilité, du technique au conceptuel. Les niveaux 4 à 6 (pragmatique, dynamique, conceptuel) correspondent aux capacités visées par l'entreprise agentique et l'Interopérabilité Cognitivo-Adaptative.</w:t>
      </w:r>
    </w:p>
    <w:p>
      <w:pPr>
        <w:spacing w:after="300"/>
      </w:pPr>
    </w:p>
    <w:p>
      <w:pPr>
        <w:spacing w:after="200"/>
      </w:pPr>
      <w:r>
        <w:rPr>
          <w:rFonts w:ascii="Arial" w:cs="Arial" w:eastAsia="Arial" w:hAnsi="Arial"/>
          <w:b/>
          <w:bCs/>
          <w:sz w:val="24"/>
          <w:szCs w:val="24"/>
        </w:rPr>
        <w:t xml:space="preserve">Tableau de synthèse : Outils méthodologiques pour l'interopérabilité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 d'outil</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Fonction</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Exemples clés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Standards ouverts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Conventions techniques partagées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TCP/IP, HTTP, AsyncAPI, CloudEvents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Cadres de référence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conceptuelle globale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EIF, FEI (ISO 11354)</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Modèles de maturité</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Évaluation et pilotage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OIM, IMM, EIMM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Modèles conceptuels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Gradation fine des niveaux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LCIM (7 niveaux)</w:t>
            </w:r>
          </w:p>
        </w:tc>
      </w:tr>
    </w:tbl>
    <w:p>
      <w:pPr>
        <w:spacing w:after="400"/>
      </w:pPr>
    </w:p>
    <w:p>
      <w:pPr>
        <w:jc w:val="center"/>
      </w:pPr>
      <w:r>
        <w:rPr>
          <w:color w:val="4A90D9"/>
          <w:sz w:val="24"/>
          <w:szCs w:val="24"/>
        </w:rPr>
        <w:t xml:space="preserve">───────────────────────────────</w:t>
      </w:r>
    </w:p>
    <w:p>
      <w:pPr>
        <w:spacing w:before="200"/>
        <w:jc w:val="center"/>
      </w:pPr>
      <w:r>
        <w:rPr>
          <w:rFonts w:ascii="Arial" w:cs="Arial" w:eastAsia="Arial" w:hAnsi="Arial"/>
          <w:i/>
          <w:iCs/>
          <w:color w:val="2E5B8A"/>
          <w:sz w:val="22"/>
          <w:szCs w:val="22"/>
        </w:rPr>
        <w:t xml:space="preserve">La Partie 2 qui suit aborde l'Architecture Réactive et l'Écosystème technique. Le Chapitre I.4 établit les principes de l'architecture réactive, hybride et composable qui constituent le système nerveux numérique de l'entreprise agentique.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5B8A"/>
        <w:sz w:val="18"/>
        <w:szCs w:val="18"/>
      </w:rPr>
      <w:t xml:space="preserve">Volume I : Fondations de l'Entreprise Agentique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5B8A"/>
        <w:sz w:val="20"/>
        <w:szCs w:val="20"/>
      </w:rPr>
      <w:t xml:space="preserve">Chapitre I.3 — Cadres de Référence, Standards et Modèles de Maturité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B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2026-01-11T11:48:32.561Z</dcterms:created>
  <dcterms:modified xsi:type="dcterms:W3CDTF">2026-01-11T11:48:32.562Z</dcterms:modified>
</cp:coreProperties>
</file>

<file path=docProps/custom.xml><?xml version="1.0" encoding="utf-8"?>
<Properties xmlns="http://schemas.openxmlformats.org/officeDocument/2006/custom-properties" xmlns:vt="http://schemas.openxmlformats.org/officeDocument/2006/docPropsVTypes"/>
</file>