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jc w:val="center"/>
      </w:pPr>
      <w:r>
        <w:rPr>
          <w:rFonts w:ascii="Arial" w:cs="Arial" w:eastAsia="Arial" w:hAnsi="Arial"/>
          <w:color w:val="2E5B8A"/>
          <w:sz w:val="28"/>
          <w:szCs w:val="28"/>
        </w:rPr>
        <w:t xml:space="preserve">PARTIE 2</w:t>
      </w:r>
    </w:p>
    <w:p>
      <w:pPr>
        <w:spacing w:after="600"/>
        <w:jc w:val="center"/>
      </w:pPr>
      <w:r>
        <w:rPr>
          <w:rFonts w:ascii="Arial" w:cs="Arial" w:eastAsia="Arial" w:hAnsi="Arial"/>
          <w:b/>
          <w:bCs/>
          <w:color w:val="1E3A5F"/>
          <w:sz w:val="36"/>
          <w:szCs w:val="36"/>
        </w:rPr>
        <w:t xml:space="preserve">ARCHITECTURE RÉACTIVE ET ÉCOSYSTÈME</w:t>
      </w:r>
    </w:p>
    <w:p>
      <w:pPr>
        <w:jc w:val="center"/>
      </w:pPr>
      <w:r>
        <w:rPr>
          <w:color w:val="4A90D9"/>
          <w:sz w:val="28"/>
          <w:szCs w:val="28"/>
        </w:rPr>
        <w:t xml:space="preserve">───────────────────────────────</w:t>
      </w:r>
    </w:p>
    <w:p>
      <w:pPr>
        <w:spacing w:after="800"/>
      </w:pPr>
    </w:p>
    <w:p>
      <w:pPr>
        <w:spacing w:after="200"/>
        <w:jc w:val="center"/>
      </w:pPr>
      <w:r>
        <w:rPr>
          <w:rFonts w:ascii="Arial" w:cs="Arial" w:eastAsia="Arial" w:hAnsi="Arial"/>
          <w:color w:val="2E5B8A"/>
          <w:sz w:val="32"/>
          <w:szCs w:val="32"/>
        </w:rPr>
        <w:t xml:space="preserve">CHAPITRE I.4</w:t>
      </w:r>
    </w:p>
    <w:p>
      <w:pPr>
        <w:spacing w:after="300"/>
        <w:jc w:val="center"/>
      </w:pPr>
      <w:r>
        <w:rPr>
          <w:rFonts w:ascii="Arial" w:cs="Arial" w:eastAsia="Arial" w:hAnsi="Arial"/>
          <w:b/>
          <w:bCs/>
          <w:color w:val="1E3A5F"/>
          <w:sz w:val="40"/>
          <w:szCs w:val="40"/>
        </w:rPr>
        <w:t xml:space="preserve">PRINCIPES DE L'ARCHITECTURE RÉACTIVE,</w:t>
      </w:r>
    </w:p>
    <w:p>
      <w:pPr>
        <w:spacing w:after="100"/>
        <w:jc w:val="center"/>
      </w:pPr>
      <w:r>
        <w:rPr>
          <w:rFonts w:ascii="Arial" w:cs="Arial" w:eastAsia="Arial" w:hAnsi="Arial"/>
          <w:b/>
          <w:bCs/>
          <w:color w:val="1E3A5F"/>
          <w:sz w:val="40"/>
          <w:szCs w:val="40"/>
        </w:rPr>
        <w:t xml:space="preserve">HYBRIDE ET COMPOSABLE</w:t>
      </w:r>
    </w:p>
    <w:p>
      <w:pPr>
        <w:spacing w:after="3500"/>
      </w:pPr>
    </w:p>
    <w:p>
      <w:pPr>
        <w:spacing w:after="200"/>
        <w:jc w:val="center"/>
      </w:pPr>
      <w:r>
        <w:rPr>
          <w:rFonts w:ascii="Arial" w:cs="Arial" w:eastAsia="Arial" w:hAnsi="Arial"/>
          <w:i/>
          <w:iCs/>
          <w:color w:val="2E5B8A"/>
          <w:sz w:val="24"/>
          <w:szCs w:val="24"/>
        </w:rPr>
        <w:t xml:space="preserve">Volume I : Fondations de l'Entreprise Agentique</w:t>
      </w:r>
    </w:p>
    <w:p>
      <w:pPr>
        <w:sectPr>
          <w:pgSz w:w="12240" w:h="15840" w:orient="portrait"/>
          <w:pgMar w:top="1440" w:right="1440" w:bottom="1440" w:left="1440" w:header="708" w:footer="708" w:gutter="0"/>
          <w:pgNumType/>
          <w:docGrid w:linePitch="360"/>
        </w:sectPr>
      </w:pPr>
    </w:p>
    <w:p>
      <w:pPr>
        <w:pStyle w:val="Heading1"/>
      </w:pPr>
      <w:r>
        <w:t xml:space="preserve">CHAPITRE I.4 — PRINCIPES DE L'ARCHITECTURE RÉACTIVE, HYBRIDE ET COMPOSABLE</w:t>
      </w:r>
    </w:p>
    <w:p>
      <w:pPr>
        <w:spacing w:after="200" w:line="276"/>
        <w:jc w:val="both"/>
      </w:pPr>
      <w:r>
        <w:rPr>
          <w:rFonts w:ascii="Arial" w:cs="Arial" w:eastAsia="Arial" w:hAnsi="Arial"/>
          <w:sz w:val="24"/>
          <w:szCs w:val="24"/>
        </w:rPr>
        <w:t xml:space="preserve">La Partie 1 a établi le diagnostic de la crise de l'intégration et posé les fondements conceptuels de l'interopérabilité. Cette deuxième partie traduit ces concepts en architecture concrète. Le présent chapitre inaugure cette transition en définissant les principes directeurs du système nerveux numérique de l'entreprise agentique.</w:t>
      </w:r>
    </w:p>
    <w:p>
      <w:pPr>
        <w:spacing w:after="200" w:line="276"/>
        <w:jc w:val="both"/>
      </w:pPr>
      <w:r>
        <w:rPr>
          <w:rFonts w:ascii="Arial" w:cs="Arial" w:eastAsia="Arial" w:hAnsi="Arial"/>
          <w:sz w:val="24"/>
          <w:szCs w:val="24"/>
        </w:rPr>
        <w:t xml:space="preserve">L'architecture que nous proposons n'est pas un modèle théorique déconnecté des réalités opérationnelles. Elle émerge de l'observation des organisations les plus performantes du numérique — Netflix, Amazon, Uber, Spotify — qui ont dû résoudre, à une échelle sans précédent, les problèmes de coordination, de résilience et d'évolutivité que toute entreprise moderne affronte. Leurs solutions, bien que développées dans des contextes spécifiques, révèlent des patterns universels.</w:t>
      </w:r>
    </w:p>
    <w:p>
      <w:pPr>
        <w:spacing w:after="200" w:line="276"/>
        <w:jc w:val="both"/>
      </w:pPr>
      <w:r>
        <w:rPr>
          <w:rFonts w:ascii="Arial" w:cs="Arial" w:eastAsia="Arial" w:hAnsi="Arial"/>
          <w:sz w:val="24"/>
          <w:szCs w:val="24"/>
        </w:rPr>
        <w:t xml:space="preserve">Ce chapitre articule trois concepts complémentaires. Le système nerveux numérique fournit la métaphore organisatrice et les objectifs stratégiques. La symbiose API/événements définit le modèle d'interaction fondamental. Le manifeste réactif et l'impératif de composabilité complètent l'édifice en établissant les propriétés que l'architecture doit garantir.</w:t>
      </w:r>
    </w:p>
    <w:p>
      <w:pPr>
        <w:pStyle w:val="Heading2"/>
      </w:pPr>
      <w:r>
        <w:t xml:space="preserve">I.4.1 Le Système Nerveux Numérique : Vision et Objectifs Stratégiques</w:t>
      </w:r>
    </w:p>
    <w:p>
      <w:pPr>
        <w:spacing w:after="200" w:line="276"/>
        <w:jc w:val="both"/>
      </w:pPr>
      <w:r>
        <w:rPr>
          <w:rFonts w:ascii="Arial" w:cs="Arial" w:eastAsia="Arial" w:hAnsi="Arial"/>
          <w:sz w:val="24"/>
          <w:szCs w:val="24"/>
        </w:rPr>
        <w:t xml:space="preserve">La métaphore du système nerveux numérique n'est pas nouvelle. Bill Gates l'utilisait déjà en 1999 pour décrire sa vision de l'entreprise connectée. Mais sa pertinence s'est considérablement accrue avec l'avènement de l'intelligence artificielle et des systèmes multi-agents. Cette métaphore biologique capture une vérité architecturale profonde : l'entreprise moderne doit fonctionner comme un organisme coordonné, non comme un assemblage mécanique de pièces indépendantes.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Système nerveux numérique : Infrastructure de communication et de coordination permettant la circulation fluide de l'information à travers l'organisation, la détection et la réponse rapides aux événements, et la coordination des actions entre composants autonomes, qu'ils soient humains, applicatifs ou agentiques.</w:t>
            </w:r>
          </w:p>
        </w:tc>
      </w:tr>
    </w:tbl>
    <w:p>
      <w:pPr>
        <w:spacing w:after="200"/>
      </w:pPr>
    </w:p>
    <w:p>
      <w:pPr>
        <w:spacing w:after="200" w:line="276"/>
        <w:jc w:val="both"/>
      </w:pPr>
      <w:r>
        <w:rPr>
          <w:rFonts w:ascii="Arial" w:cs="Arial" w:eastAsia="Arial" w:hAnsi="Arial"/>
          <w:sz w:val="24"/>
          <w:szCs w:val="24"/>
        </w:rPr>
        <w:t xml:space="preserve">Le système nerveux biologique présente des caractéristiques remarquables que son équivalent numérique doit émuler. Il combine communication synchrone (réflexes rapides) et asynchrone (processus cognitifs différés). Il intègre perception (capteurs sensoriels), traitement (cerveau et moelle épinière) et action (système moteur). Il s'adapte dynamiquement à son environnement par apprentissage. Il maintient son fonctionnement malgré des défaillances localisées.</w:t>
      </w:r>
    </w:p>
    <w:p>
      <w:pPr>
        <w:spacing w:after="200" w:line="276"/>
        <w:jc w:val="both"/>
      </w:pPr>
      <w:r>
        <w:rPr>
          <w:rFonts w:ascii="Arial" w:cs="Arial" w:eastAsia="Arial" w:hAnsi="Arial"/>
          <w:sz w:val="24"/>
          <w:szCs w:val="24"/>
        </w:rPr>
        <w:t xml:space="preserve">Transposées au monde numérique, ces caractéristiques définissent les </w:t>
      </w:r>
      <w:r>
        <w:rPr>
          <w:rFonts w:ascii="Arial" w:cs="Arial" w:eastAsia="Arial" w:hAnsi="Arial"/>
          <w:b/>
          <w:bCs/>
          <w:sz w:val="24"/>
          <w:szCs w:val="24"/>
        </w:rPr>
        <w:t xml:space="preserve">objectifs stratégiques</w:t>
      </w:r>
      <w:r>
        <w:rPr>
          <w:rFonts w:ascii="Arial" w:cs="Arial" w:eastAsia="Arial" w:hAnsi="Arial"/>
          <w:sz w:val="24"/>
          <w:szCs w:val="24"/>
        </w:rPr>
        <w:t xml:space="preserve"> de l'architecture réactive. La </w:t>
      </w:r>
      <w:r>
        <w:rPr>
          <w:rFonts w:ascii="Arial" w:cs="Arial" w:eastAsia="Arial" w:hAnsi="Arial"/>
          <w:b/>
          <w:bCs/>
          <w:sz w:val="24"/>
          <w:szCs w:val="24"/>
        </w:rPr>
        <w:t xml:space="preserve">conscience situationnelle</w:t>
      </w:r>
      <w:r>
        <w:rPr>
          <w:rFonts w:ascii="Arial" w:cs="Arial" w:eastAsia="Arial" w:hAnsi="Arial"/>
          <w:sz w:val="24"/>
          <w:szCs w:val="24"/>
        </w:rPr>
        <w:t xml:space="preserve"> permet à l'organisation de percevoir en temps réel ce qui se passe dans son environnement interne et externe. La </w:t>
      </w:r>
      <w:r>
        <w:rPr>
          <w:rFonts w:ascii="Arial" w:cs="Arial" w:eastAsia="Arial" w:hAnsi="Arial"/>
          <w:b/>
          <w:bCs/>
          <w:sz w:val="24"/>
          <w:szCs w:val="24"/>
        </w:rPr>
        <w:t xml:space="preserve">réactivité</w:t>
      </w:r>
      <w:r>
        <w:rPr>
          <w:rFonts w:ascii="Arial" w:cs="Arial" w:eastAsia="Arial" w:hAnsi="Arial"/>
          <w:sz w:val="24"/>
          <w:szCs w:val="24"/>
        </w:rPr>
        <w:t xml:space="preserve"> garantit la capacité à répondre rapidement aux événements détectés. La </w:t>
      </w:r>
      <w:r>
        <w:rPr>
          <w:rFonts w:ascii="Arial" w:cs="Arial" w:eastAsia="Arial" w:hAnsi="Arial"/>
          <w:b/>
          <w:bCs/>
          <w:sz w:val="24"/>
          <w:szCs w:val="24"/>
        </w:rPr>
        <w:t xml:space="preserve">résilience</w:t>
      </w:r>
      <w:r>
        <w:rPr>
          <w:rFonts w:ascii="Arial" w:cs="Arial" w:eastAsia="Arial" w:hAnsi="Arial"/>
          <w:sz w:val="24"/>
          <w:szCs w:val="24"/>
        </w:rPr>
        <w:t xml:space="preserve"> assure le maintien du service malgré les défaillances. L'</w:t>
      </w:r>
      <w:r>
        <w:rPr>
          <w:rFonts w:ascii="Arial" w:cs="Arial" w:eastAsia="Arial" w:hAnsi="Arial"/>
          <w:b/>
          <w:bCs/>
          <w:sz w:val="24"/>
          <w:szCs w:val="24"/>
        </w:rPr>
        <w:t xml:space="preserve">adaptabilité</w:t>
      </w:r>
      <w:r>
        <w:rPr>
          <w:rFonts w:ascii="Arial" w:cs="Arial" w:eastAsia="Arial" w:hAnsi="Arial"/>
          <w:sz w:val="24"/>
          <w:szCs w:val="24"/>
        </w:rPr>
        <w:t xml:space="preserve"> permet l'évolution continue face aux changements de contexte.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Le système nerveux numérique n'est pas un projet technologique; c'est une capacité stratégique. Les organisations qui le maîtrisent peuvent détecter les opportunités et les menaces avant leurs concurrents, répondre plus rapidement aux attentes des clients, pivoter avec agilité face aux disruptions du marché. Cette capacité constitue un avantage concurrentiel durable à l'ère de l'accélération.</w:t>
            </w:r>
          </w:p>
        </w:tc>
      </w:tr>
    </w:tbl>
    <w:p>
      <w:pPr>
        <w:spacing w:after="200"/>
      </w:pPr>
    </w:p>
    <w:p>
      <w:pPr>
        <w:spacing w:after="200" w:line="276"/>
        <w:jc w:val="both"/>
      </w:pPr>
      <w:r>
        <w:rPr>
          <w:rFonts w:ascii="Arial" w:cs="Arial" w:eastAsia="Arial" w:hAnsi="Arial"/>
          <w:sz w:val="24"/>
          <w:szCs w:val="24"/>
        </w:rPr>
        <w:t xml:space="preserve">L'architecture du système nerveux numérique repose sur trois composantes principales. Le backbone événementiel constitue la moelle épinière — le canal principal par lequel circulent les signaux entre toutes les parties de l'organisme. Les API forment les interfaces sensorielles et motrices — les points de contact avec le monde extérieur et les moyens d'action. Les agents cognitifs jouent le rôle des centres de traitement — capables d'interpréter les signaux, de prendre des décisions et de coordonner les réponses.</w:t>
      </w: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backbone événementiel</w:t>
      </w:r>
      <w:r>
        <w:rPr>
          <w:rFonts w:ascii="Arial" w:cs="Arial" w:eastAsia="Arial" w:hAnsi="Arial"/>
          <w:sz w:val="24"/>
          <w:szCs w:val="24"/>
        </w:rPr>
        <w:t xml:space="preserve">, typiquement implémenté avec Apache Kafka ou la Confluent Platform, transporte les faits métier sous forme d'événements. Un événement représente quelque chose qui s'est produit : une commande passée, un paiement reçu, une anomalie détectée. Contrairement aux appels API qui demandent une action, les événements constatent un fait accompli. Cette distinction, apparemment subtile, a des implications architecturales profondes que nous explorerons dans le Chapitre I.6.</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Uber a construit son système nerveux numérique autour d'Apache Kafka, traitant plus de 20 milliards d'événements par jour. Chaque demande de course, chaque mouvement de véhicule, chaque mise à jour de tarif circule sous forme d'événement. Cette architecture permet la coordination en temps réel de millions de trajets simultanés, l'ajustement dynamique des prix selon la demande, et la détection instantanée des anomalies de service.</w:t>
            </w:r>
          </w:p>
        </w:tc>
      </w:tr>
    </w:tbl>
    <w:p>
      <w:pPr>
        <w:spacing w:after="200"/>
      </w:pPr>
    </w:p>
    <w:p>
      <w:pPr>
        <w:pStyle w:val="Heading2"/>
      </w:pPr>
      <w:r>
        <w:t xml:space="preserve">I.4.2 La Symbiose API et Événements : Unifier les Mondes Synchrone et Asynchrone</w:t>
      </w:r>
    </w:p>
    <w:p>
      <w:pPr>
        <w:spacing w:after="200" w:line="276"/>
        <w:jc w:val="both"/>
      </w:pPr>
      <w:r>
        <w:rPr>
          <w:rFonts w:ascii="Arial" w:cs="Arial" w:eastAsia="Arial" w:hAnsi="Arial"/>
          <w:sz w:val="24"/>
          <w:szCs w:val="24"/>
        </w:rPr>
        <w:t xml:space="preserve">Une erreur fréquente consiste à opposer les architectures orientées API aux architectures orientées événements, comme si l'organisation devait choisir entre deux paradigmes incompatibles. Cette vision dichotomique méconnaît la complémentarité fondamentale de ces deux modes d'interaction. Le système nerveux numérique ne choisit pas; il intègre.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Symbiose API/Événements : Architecture hybride combinant les interactions synchrones (requête/réponse via API) et asynchrones (publication/souscription via événements) selon les besoins de chaque cas d'usage, permettant d'optimiser simultanément la réactivité immédiate et le découplage temporel.</w:t>
            </w:r>
          </w:p>
        </w:tc>
      </w:tr>
    </w:tbl>
    <w:p>
      <w:pPr>
        <w:spacing w:after="200"/>
      </w:pPr>
    </w:p>
    <w:p>
      <w:pPr>
        <w:spacing w:after="200" w:line="276"/>
        <w:jc w:val="both"/>
      </w:pPr>
      <w:r>
        <w:rPr>
          <w:rFonts w:ascii="Arial" w:cs="Arial" w:eastAsia="Arial" w:hAnsi="Arial"/>
          <w:sz w:val="24"/>
          <w:szCs w:val="24"/>
        </w:rPr>
        <w:t xml:space="preserve">Les </w:t>
      </w:r>
      <w:r>
        <w:rPr>
          <w:rFonts w:ascii="Arial" w:cs="Arial" w:eastAsia="Arial" w:hAnsi="Arial"/>
          <w:b/>
          <w:bCs/>
          <w:sz w:val="24"/>
          <w:szCs w:val="24"/>
        </w:rPr>
        <w:t xml:space="preserve">API synchrones</w:t>
      </w:r>
      <w:r>
        <w:rPr>
          <w:rFonts w:ascii="Arial" w:cs="Arial" w:eastAsia="Arial" w:hAnsi="Arial"/>
          <w:sz w:val="24"/>
          <w:szCs w:val="24"/>
        </w:rPr>
        <w:t xml:space="preserve"> (REST, GraphQL, gRPC) excellent dans les interactions requérant une réponse immédiate. Lorsqu'un utilisateur consulte son solde bancaire, il attend une réponse en temps réel. Lorsqu'un système de paiement vérifie une carte de crédit, la transaction ne peut pas procéder sans confirmation. Ces cas d'usage exigent le modèle requête/réponse que les API synchrones implémentent naturellement.</w:t>
      </w:r>
    </w:p>
    <w:p>
      <w:pPr>
        <w:spacing w:after="200" w:line="276"/>
        <w:jc w:val="both"/>
      </w:pPr>
      <w:r>
        <w:rPr>
          <w:rFonts w:ascii="Arial" w:cs="Arial" w:eastAsia="Arial" w:hAnsi="Arial"/>
          <w:sz w:val="24"/>
          <w:szCs w:val="24"/>
        </w:rPr>
        <w:t xml:space="preserve">Les </w:t>
      </w:r>
      <w:r>
        <w:rPr>
          <w:rFonts w:ascii="Arial" w:cs="Arial" w:eastAsia="Arial" w:hAnsi="Arial"/>
          <w:b/>
          <w:bCs/>
          <w:sz w:val="24"/>
          <w:szCs w:val="24"/>
        </w:rPr>
        <w:t xml:space="preserve">événements asynchrones</w:t>
      </w:r>
      <w:r>
        <w:rPr>
          <w:rFonts w:ascii="Arial" w:cs="Arial" w:eastAsia="Arial" w:hAnsi="Arial"/>
          <w:sz w:val="24"/>
          <w:szCs w:val="24"/>
        </w:rPr>
        <w:t xml:space="preserve"> s'imposent quand le découplage temporel apporte de la valeur. Lorsqu'une commande est validée, de nombreux processus doivent en être informés : préparation en entrepôt, mise à jour des stocks, notification au client, déclenchement de la facturation. Ces processus n'ont pas besoin de réponse immédiate; ils ont besoin d'être notifiés au bon moment. Le modèle publication/souscription permet à chaque consommateur de traiter l'événement selon son propre rythme.</w:t>
      </w:r>
    </w:p>
    <w:p>
      <w:pPr>
        <w:spacing w:after="200" w:line="276"/>
        <w:jc w:val="both"/>
      </w:pPr>
      <w:r>
        <w:rPr>
          <w:rFonts w:ascii="Arial" w:cs="Arial" w:eastAsia="Arial" w:hAnsi="Arial"/>
          <w:sz w:val="24"/>
          <w:szCs w:val="24"/>
        </w:rPr>
        <w:t xml:space="preserve">Le tableau suivant caractérise les forces respectives de chaque paradigme :</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Critère</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API Synchrones</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Événements Asynchrones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Couplage temporel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Fort (attente de réponse)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Faible (traitement différé)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Couplage spatial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(adresse connue)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Indirect (via le broker)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Modèle d'interaction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 (point à point)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1:N (diffusion)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Garantie de livraison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Immédiate ou échec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Persistante et rejouable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Cas d'usage typique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Requêtes utilisateur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Propagation de faits métier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Évolutivité</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Scaling horizontal complexe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Scaling naturel via partitions</w:t>
            </w:r>
          </w:p>
        </w:tc>
      </w:tr>
    </w:tbl>
    <w:p>
      <w:pPr>
        <w:spacing w:after="200"/>
      </w:pPr>
    </w:p>
    <w:p>
      <w:pPr>
        <w:spacing w:after="200" w:line="276"/>
        <w:jc w:val="both"/>
      </w:pPr>
      <w:r>
        <w:rPr>
          <w:rFonts w:ascii="Arial" w:cs="Arial" w:eastAsia="Arial" w:hAnsi="Arial"/>
          <w:sz w:val="24"/>
          <w:szCs w:val="24"/>
        </w:rPr>
        <w:t xml:space="preserve">La symbiose se matérialise dans des patterns architecturaux hybrides. Le pattern </w:t>
      </w:r>
      <w:r>
        <w:rPr>
          <w:rFonts w:ascii="Arial" w:cs="Arial" w:eastAsia="Arial" w:hAnsi="Arial"/>
          <w:b/>
          <w:bCs/>
          <w:sz w:val="24"/>
          <w:szCs w:val="24"/>
        </w:rPr>
        <w:t xml:space="preserve">CQRS (Command Query Responsibility Segregation)</w:t>
      </w:r>
      <w:r>
        <w:rPr>
          <w:rFonts w:ascii="Arial" w:cs="Arial" w:eastAsia="Arial" w:hAnsi="Arial"/>
          <w:sz w:val="24"/>
          <w:szCs w:val="24"/>
        </w:rPr>
        <w:t xml:space="preserve"> sépare les opérations d'écriture (commandes via API) des opérations de lecture (requêtes sur des vues matérialisées par les événements). Le pattern </w:t>
      </w:r>
      <w:r>
        <w:rPr>
          <w:rFonts w:ascii="Arial" w:cs="Arial" w:eastAsia="Arial" w:hAnsi="Arial"/>
          <w:b/>
          <w:bCs/>
          <w:sz w:val="24"/>
          <w:szCs w:val="24"/>
        </w:rPr>
        <w:t xml:space="preserve">Event Sourcing</w:t>
      </w:r>
      <w:r>
        <w:rPr>
          <w:rFonts w:ascii="Arial" w:cs="Arial" w:eastAsia="Arial" w:hAnsi="Arial"/>
          <w:sz w:val="24"/>
          <w:szCs w:val="24"/>
        </w:rPr>
        <w:t xml:space="preserve"> stocke les événements comme source de vérité tout en exposant des API pour les interactions synchrones. Le pattern </w:t>
      </w:r>
      <w:r>
        <w:rPr>
          <w:rFonts w:ascii="Arial" w:cs="Arial" w:eastAsia="Arial" w:hAnsi="Arial"/>
          <w:b/>
          <w:bCs/>
          <w:sz w:val="24"/>
          <w:szCs w:val="24"/>
        </w:rPr>
        <w:t xml:space="preserve">Saga</w:t>
      </w:r>
      <w:r>
        <w:rPr>
          <w:rFonts w:ascii="Arial" w:cs="Arial" w:eastAsia="Arial" w:hAnsi="Arial"/>
          <w:sz w:val="24"/>
          <w:szCs w:val="24"/>
        </w:rPr>
        <w:t xml:space="preserve"> orchestre des transactions distribuées via des séquences d'événements coordonnés.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Une plateforme de commerce électronique illustre la symbiose. L'API REST synchrone gère la navigation du catalogue et le passage de commande (réponse immédiate requise). L'événement « CommandeValidée » déclenche asynchronement la réservation des stocks, la préparation logistique, l'envoi de la confirmation par courriel, la mise à jour du profil client. Chaque consommateur traite l'événement à son rythme, sans bloquer le flux principal. Si un consommateur est temporairement indisponible, l'événement persiste dans Kafka et sera traité dès le retour à la normale.</w:t>
            </w:r>
          </w:p>
        </w:tc>
      </w:tr>
    </w:tbl>
    <w:p>
      <w:pPr>
        <w:spacing w:after="200"/>
      </w:pPr>
    </w:p>
    <w:p>
      <w:pPr>
        <w:spacing w:after="200" w:line="276"/>
        <w:jc w:val="both"/>
      </w:pPr>
      <w:r>
        <w:rPr>
          <w:rFonts w:ascii="Arial" w:cs="Arial" w:eastAsia="Arial" w:hAnsi="Arial"/>
          <w:sz w:val="24"/>
          <w:szCs w:val="24"/>
        </w:rPr>
        <w:t xml:space="preserve">Pour l'entreprise agentique, cette symbiose prend une dimension supplémentaire. Les agents cognitifs opèrent naturellement dans un mode hybride. Ils répondent à des sollicitations synchrones (une question posée par un utilisateur) tout en réagissant à des événements asynchrones (un changement de contexte détecté). Le maillage agentique s'appuie sur le backbone événementiel pour la coordination émergente, et sur les API pour les interactions ciblées.</w:t>
      </w:r>
    </w:p>
    <w:p>
      <w:r>
        <w:br w:type="page"/>
      </w:r>
    </w:p>
    <w:p>
      <w:pPr>
        <w:pStyle w:val="Heading2"/>
      </w:pPr>
      <w:r>
        <w:t xml:space="preserve">I.4.3 Les Piliers du Manifeste Réactif</w:t>
      </w:r>
    </w:p>
    <w:p>
      <w:pPr>
        <w:spacing w:after="200" w:line="276"/>
        <w:jc w:val="both"/>
      </w:pPr>
      <w:r>
        <w:rPr>
          <w:rFonts w:ascii="Arial" w:cs="Arial" w:eastAsia="Arial" w:hAnsi="Arial"/>
          <w:sz w:val="24"/>
          <w:szCs w:val="24"/>
        </w:rPr>
        <w:t xml:space="preserve">Le Manifeste Réactif, publié en 2014 par Jonas Bonér et ses collaborateurs, a formalisé les principes architecturaux observés chez les organisations numériques les plus performantes. Bien que conçu avant l'ère de l'IA agentique, ce manifeste reste d'une pertinence remarquable. Ses quatre piliers — réactivité, résilience, élasticité et orientation messages — définissent les propriétés que tout système nerveux numérique doit garantir.</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Système réactif : Système logiciel conçu pour être réactif (réponse rapide), résilient (disponible malgré les défaillances), élastique (adaptatif à la charge) et orienté messages (communication asynchrone). Ces propriétés émergent d'une architecture fondée sur le passage de messages asynchrones.</w:t>
            </w:r>
          </w:p>
        </w:tc>
      </w:tr>
    </w:tbl>
    <w:p>
      <w:pPr>
        <w:spacing w:after="200"/>
      </w:pP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réactivité (Responsive)</w:t>
      </w:r>
      <w:r>
        <w:rPr>
          <w:rFonts w:ascii="Arial" w:cs="Arial" w:eastAsia="Arial" w:hAnsi="Arial"/>
          <w:sz w:val="24"/>
          <w:szCs w:val="24"/>
        </w:rPr>
        <w:t xml:space="preserve"> constitue l'objectif visible, celui que perçoivent les utilisateurs. Un système réactif répond en temps opportun, de manière cohérente et prévisible. Cette réactivité n'est pas seulement une question de performance brute; elle englobe aussi la qualité de service, la détection rapide des problèmes et leur signalement transparent. Un système qui met 100 millisecondes à répondre quand tout va bien mais plusieurs secondes quand un composant dysfonctionne n'est pas véritablement réactif.</w:t>
      </w: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résilience (Resilient)</w:t>
      </w:r>
      <w:r>
        <w:rPr>
          <w:rFonts w:ascii="Arial" w:cs="Arial" w:eastAsia="Arial" w:hAnsi="Arial"/>
          <w:sz w:val="24"/>
          <w:szCs w:val="24"/>
        </w:rPr>
        <w:t xml:space="preserve"> assure la réactivité face aux défaillances. Dans un système distribué, les pannes ne sont pas des exceptions; elles sont la norme. Serveurs qui tombent, réseaux qui saturent, disques qui corrompent : ces incidents se produisent continuellement à grande échelle. Un système résilient isole les défaillances, récupère automatiquement, dégrade gracieusement le service plutôt que de s'effondrer complètement.</w:t>
      </w:r>
    </w:p>
    <w:p>
      <w:pPr>
        <w:spacing w:after="200" w:line="276"/>
        <w:jc w:val="both"/>
      </w:pPr>
      <w:r>
        <w:rPr>
          <w:rFonts w:ascii="Arial" w:cs="Arial" w:eastAsia="Arial" w:hAnsi="Arial"/>
          <w:sz w:val="24"/>
          <w:szCs w:val="24"/>
        </w:rPr>
        <w:t xml:space="preserve">Les patterns de résilience incluent les disjoncteurs (circuit breakers) qui isolent les composants défaillants, les cloisons (bulkheads) qui empêchent la propagation des pannes, les tentatives avec recul exponentiel (exponential backoff) qui évitent les tempêtes de nouvelles tentatives, les files d'attente de lettres mortes (dead letter queues) qui préservent les messages non traitables pour analyse ultérieure.</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élasticité (Elastic)</w:t>
      </w:r>
      <w:r>
        <w:rPr>
          <w:rFonts w:ascii="Arial" w:cs="Arial" w:eastAsia="Arial" w:hAnsi="Arial"/>
          <w:sz w:val="24"/>
          <w:szCs w:val="24"/>
        </w:rPr>
        <w:t xml:space="preserve"> permet au système de s'adapter à la charge. Un pic de trafic ne doit pas dégrader le service; une baisse d'activité ne doit pas gaspiller les ressources. L'élasticité moderne s'appuie sur l'infonuagique et les orchestrateurs de conteneurs (Kubernetes) pour ajouter ou retirer dynamiquement de la capacité. Elle suppose une architecture sans état partagé (stateless) ou avec un état externalisé vers des services spécialisés.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L'élasticité transforme les coûts d'infrastructure de fixes en variables. Au lieu de provisionner pour le pic maximal anticipé (et de payer en permanence pour une capacité sous-utilisée), l'organisation ne paie que pour la capacité réellement consommée. Cette flexibilité financière, couplée à la flexibilité opérationnelle, représente un avantage significatif pour les organisations infonuagiques natives.</w:t>
            </w:r>
          </w:p>
        </w:tc>
      </w:tr>
    </w:tbl>
    <w:p>
      <w:pPr>
        <w:spacing w:after="200"/>
      </w:pP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orientation messages (Message Driven)</w:t>
      </w:r>
      <w:r>
        <w:rPr>
          <w:rFonts w:ascii="Arial" w:cs="Arial" w:eastAsia="Arial" w:hAnsi="Arial"/>
          <w:sz w:val="24"/>
          <w:szCs w:val="24"/>
        </w:rPr>
        <w:t xml:space="preserve"> est le fondement qui permet les trois autres propriétés. En communiquant par messages asynchrones, les composants se découplent dans le temps et dans l'espace. Le producteur n'attend pas de réponse immédiate; le consommateur traite à son rythme. Cette indépendance permet l'isolation des défaillances (résilience), le scaling indépendant des composants (élasticité) et la garantie de temps de réponse (réactivité).</w:t>
      </w:r>
    </w:p>
    <w:p>
      <w:pPr>
        <w:spacing w:after="200" w:line="276"/>
        <w:jc w:val="both"/>
      </w:pPr>
      <w:r>
        <w:rPr>
          <w:rFonts w:ascii="Arial" w:cs="Arial" w:eastAsia="Arial" w:hAnsi="Arial"/>
          <w:sz w:val="24"/>
          <w:szCs w:val="24"/>
        </w:rPr>
        <w:t xml:space="preserve">Le passage de messages ne signifie pas l'abandon des interactions synchrones. Il signifie que l'architecture privilégie les flux asynchrones là où ils apportent de la valeur, et confine les interactions synchrones aux cas où elles sont véritablement nécessaires. Le backbone événementiel matérialise ce principe en offrant un canal de communication universel, persistant et hautement disponible.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Netflix illustre magistralement les principes réactifs. Son architecture de microservices communique principalement via Apache Kafka pour les flux asynchrones et gRPC pour les appels synchrones ciblés. Les patterns de résilience (Hystrix, puis Resilience4j) isolent les défaillances. L'infrastructure élastique sur AWS s'adapte aux variations de charge considérables entre les heures creuses et les soirées de sortie de nouvelles séries. Le système reste réactif même quand certains services sont dégradés, affichant par exemple des recommandations génériques si le moteur personnalisé est indisponible.</w:t>
            </w:r>
          </w:p>
        </w:tc>
      </w:tr>
    </w:tbl>
    <w:p>
      <w:pPr>
        <w:spacing w:after="200"/>
      </w:pPr>
    </w:p>
    <w:p>
      <w:pPr>
        <w:pStyle w:val="Heading2"/>
      </w:pPr>
      <w:r>
        <w:t xml:space="preserve">I.4.4 L'Impératif de Composabilité Stratégique</w:t>
      </w:r>
    </w:p>
    <w:p>
      <w:pPr>
        <w:spacing w:after="200" w:line="276"/>
        <w:jc w:val="both"/>
      </w:pPr>
      <w:r>
        <w:rPr>
          <w:rFonts w:ascii="Arial" w:cs="Arial" w:eastAsia="Arial" w:hAnsi="Arial"/>
          <w:sz w:val="24"/>
          <w:szCs w:val="24"/>
        </w:rPr>
        <w:t xml:space="preserve">Les principes réactifs définissent les propriétés de fonctionnement du système; la composabilité définit sa capacité d'évolution. Dans un environnement où les besoins métier changent rapidement, où les technologies se renouvellent sans cesse, où les opportunités émergent de manière imprévisible, l'architecture doit permettre la recomposition rapide des capacités existantes pour créer de nouvelles solutions.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Composabilité : Propriété d'une architecture permettant d'assembler des composants autonomes et interopérables pour créer de nouvelles capacités, sans modification des composants existants et avec un effort d'intégration minimal. Une architecture composable maximise la réutilisation et minimise la duplication.</w:t>
            </w:r>
          </w:p>
        </w:tc>
      </w:tr>
    </w:tbl>
    <w:p>
      <w:pPr>
        <w:spacing w:after="200"/>
      </w:pPr>
    </w:p>
    <w:p>
      <w:pPr>
        <w:spacing w:after="200" w:line="276"/>
        <w:jc w:val="both"/>
      </w:pPr>
      <w:r>
        <w:rPr>
          <w:rFonts w:ascii="Arial" w:cs="Arial" w:eastAsia="Arial" w:hAnsi="Arial"/>
          <w:sz w:val="24"/>
          <w:szCs w:val="24"/>
        </w:rPr>
        <w:t xml:space="preserve">Gartner a popularisé le concept d'</w:t>
      </w:r>
      <w:r>
        <w:rPr>
          <w:rFonts w:ascii="Arial" w:cs="Arial" w:eastAsia="Arial" w:hAnsi="Arial"/>
          <w:b/>
          <w:bCs/>
          <w:sz w:val="24"/>
          <w:szCs w:val="24"/>
        </w:rPr>
        <w:t xml:space="preserve">« entreprise composable »</w:t>
      </w:r>
      <w:r>
        <w:rPr>
          <w:rFonts w:ascii="Arial" w:cs="Arial" w:eastAsia="Arial" w:hAnsi="Arial"/>
          <w:sz w:val="24"/>
          <w:szCs w:val="24"/>
        </w:rPr>
        <w:t xml:space="preserve"> (Composable Enterprise) pour décrire les organisations capables de se reconfigurer rapidement face aux changements. Cette vision stratégique trouve sa traduction technique dans l'architecture composable, qui expose les capacités métier sous forme de blocs réutilisables — les </w:t>
      </w:r>
      <w:r>
        <w:rPr>
          <w:rFonts w:ascii="Arial" w:cs="Arial" w:eastAsia="Arial" w:hAnsi="Arial"/>
          <w:b/>
          <w:bCs/>
          <w:sz w:val="24"/>
          <w:szCs w:val="24"/>
        </w:rPr>
        <w:t xml:space="preserve">Packaged Business Capabilities (PBC)</w:t>
      </w:r>
      <w:r>
        <w:rPr>
          <w:rFonts w:ascii="Arial" w:cs="Arial" w:eastAsia="Arial" w:hAnsi="Arial"/>
          <w:sz w:val="24"/>
          <w:szCs w:val="24"/>
        </w:rPr>
        <w:t xml:space="preserve">.</w:t>
      </w:r>
    </w:p>
    <w:p>
      <w:pPr>
        <w:spacing w:after="200" w:line="276"/>
        <w:jc w:val="both"/>
      </w:pPr>
      <w:r>
        <w:rPr>
          <w:rFonts w:ascii="Arial" w:cs="Arial" w:eastAsia="Arial" w:hAnsi="Arial"/>
          <w:sz w:val="24"/>
          <w:szCs w:val="24"/>
        </w:rPr>
        <w:t xml:space="preserve">Un PBC encapsule une capacité métier cohérente — gestion des paiements, validation d'identité, calcul de tarification — avec son interface standardisée, ses contrats de données explicites et ses garanties de niveau de service. Ces blocs peuvent être assemblés pour créer des solutions métier complexes, comme des pièces de Lego s'emboîtent pour construire des structures variées.</w:t>
      </w:r>
    </w:p>
    <w:p>
      <w:pPr>
        <w:spacing w:after="200" w:line="276"/>
        <w:jc w:val="both"/>
      </w:pPr>
      <w:r>
        <w:rPr>
          <w:rFonts w:ascii="Arial" w:cs="Arial" w:eastAsia="Arial" w:hAnsi="Arial"/>
          <w:sz w:val="24"/>
          <w:szCs w:val="24"/>
        </w:rPr>
        <w:t xml:space="preserve">La composabilité repose sur trois principes. La </w:t>
      </w:r>
      <w:r>
        <w:rPr>
          <w:rFonts w:ascii="Arial" w:cs="Arial" w:eastAsia="Arial" w:hAnsi="Arial"/>
          <w:b/>
          <w:bCs/>
          <w:sz w:val="24"/>
          <w:szCs w:val="24"/>
        </w:rPr>
        <w:t xml:space="preserve">modularité</w:t>
      </w:r>
      <w:r>
        <w:rPr>
          <w:rFonts w:ascii="Arial" w:cs="Arial" w:eastAsia="Arial" w:hAnsi="Arial"/>
          <w:sz w:val="24"/>
          <w:szCs w:val="24"/>
        </w:rPr>
        <w:t xml:space="preserve"> découpe les capacités en unités cohésives et faiblement couplées. L'</w:t>
      </w:r>
      <w:r>
        <w:rPr>
          <w:rFonts w:ascii="Arial" w:cs="Arial" w:eastAsia="Arial" w:hAnsi="Arial"/>
          <w:b/>
          <w:bCs/>
          <w:sz w:val="24"/>
          <w:szCs w:val="24"/>
        </w:rPr>
        <w:t xml:space="preserve">autonomie</w:t>
      </w:r>
      <w:r>
        <w:rPr>
          <w:rFonts w:ascii="Arial" w:cs="Arial" w:eastAsia="Arial" w:hAnsi="Arial"/>
          <w:sz w:val="24"/>
          <w:szCs w:val="24"/>
        </w:rPr>
        <w:t xml:space="preserve"> garantit que chaque module peut évoluer indépendamment, avec son propre cycle de vie, son propre modèle de données, sa propre équipe responsable. L'</w:t>
      </w:r>
      <w:r>
        <w:rPr>
          <w:rFonts w:ascii="Arial" w:cs="Arial" w:eastAsia="Arial" w:hAnsi="Arial"/>
          <w:b/>
          <w:bCs/>
          <w:sz w:val="24"/>
          <w:szCs w:val="24"/>
        </w:rPr>
        <w:t xml:space="preserve">orchestrabilité</w:t>
      </w:r>
      <w:r>
        <w:rPr>
          <w:rFonts w:ascii="Arial" w:cs="Arial" w:eastAsia="Arial" w:hAnsi="Arial"/>
          <w:sz w:val="24"/>
          <w:szCs w:val="24"/>
        </w:rPr>
        <w:t xml:space="preserve"> permet d'assembler ces modules par configuration plutôt que par programmation, en définissant des flux de travail qui coordonnent leurs interactions.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Stripe illustre la composabilité dans le domaine des paiements. Plutôt qu'un système monolithique, Stripe expose des capacités granulaires : traitement des cartes, gestion des abonnements, prévention de la fraude, émission de factures, conformité fiscale. Chaque capacité est accessible via des API bien définies, peut être utilisée indépendamment ou combinée avec d'autres. Les entreprises clientes composent leur propre solution de paiement en assemblant les blocs pertinents pour leur contexte.</w:t>
            </w:r>
          </w:p>
        </w:tc>
      </w:tr>
    </w:tbl>
    <w:p>
      <w:pPr>
        <w:spacing w:after="200"/>
      </w:pPr>
    </w:p>
    <w:p>
      <w:pPr>
        <w:spacing w:after="200" w:line="276"/>
        <w:jc w:val="both"/>
      </w:pPr>
      <w:r>
        <w:rPr>
          <w:rFonts w:ascii="Arial" w:cs="Arial" w:eastAsia="Arial" w:hAnsi="Arial"/>
          <w:sz w:val="24"/>
          <w:szCs w:val="24"/>
        </w:rPr>
        <w:t xml:space="preserve">Pour l'entreprise agentique, la composabilité prend une dimension supplémentaire. Les agents cognitifs deviennent eux-mêmes des composants orchestrables. Un agent spécialisé dans l'analyse de documents peut être combiné avec un agent de prise de décision et un agent d'exécution pour créer un workflow intelligent. Le maillage agentique permet des compositions dynamiques où les agents se coordonnent de manière émergente plutôt que selon des flux préétablis.</w:t>
      </w:r>
    </w:p>
    <w:p>
      <w:pPr>
        <w:spacing w:after="200" w:line="276"/>
        <w:jc w:val="both"/>
      </w:pPr>
      <w:r>
        <w:rPr>
          <w:rFonts w:ascii="Arial" w:cs="Arial" w:eastAsia="Arial" w:hAnsi="Arial"/>
          <w:sz w:val="24"/>
          <w:szCs w:val="24"/>
        </w:rPr>
        <w:t xml:space="preserve">Les </w:t>
      </w:r>
      <w:r>
        <w:rPr>
          <w:rFonts w:ascii="Arial" w:cs="Arial" w:eastAsia="Arial" w:hAnsi="Arial"/>
          <w:b/>
          <w:bCs/>
          <w:sz w:val="24"/>
          <w:szCs w:val="24"/>
        </w:rPr>
        <w:t xml:space="preserve">contrats de données</w:t>
      </w:r>
      <w:r>
        <w:rPr>
          <w:rFonts w:ascii="Arial" w:cs="Arial" w:eastAsia="Arial" w:hAnsi="Arial"/>
          <w:sz w:val="24"/>
          <w:szCs w:val="24"/>
        </w:rPr>
        <w:t xml:space="preserve"> (Data Contracts), que nous détaillerons au Chapitre I.7, jouent un rôle crucial dans la composabilité. Ils formalisent les interfaces entre composants : structure des données échangées, garanties de qualité, règles d'évolution. Sans ces contrats explicites, l'assemblage des composants reste fragile, sujet à des ruptures inattendues lors des évolutions.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La composabilité est un investissement qui se rentabilise dans la durée. Le premier projet composable peut sembler plus coûteux qu'une solution ad hoc, car il exige la conception soigneuse des interfaces et des contrats. Mais chaque projet suivant bénéficie des composants existants, réduisant le temps de mise en marché et les coûts de développement. Les organisations qui ont investi dans la composabilité rapportent des réductions de 40 à 60 % du temps de développement pour les nouveaux produits.</w:t>
            </w:r>
          </w:p>
        </w:tc>
      </w:tr>
    </w:tbl>
    <w:p>
      <w:pPr>
        <w:spacing w:after="200"/>
      </w:pPr>
    </w:p>
    <w:p>
      <w:pPr>
        <w:pStyle w:val="Heading2"/>
      </w:pPr>
      <w:r>
        <w:t xml:space="preserve">I.4.5 Conclusion : Apporter de la Valeur à l'Entreprise</w:t>
      </w:r>
    </w:p>
    <w:p>
      <w:pPr>
        <w:spacing w:after="200" w:line="276"/>
        <w:jc w:val="both"/>
      </w:pPr>
      <w:r>
        <w:rPr>
          <w:rFonts w:ascii="Arial" w:cs="Arial" w:eastAsia="Arial" w:hAnsi="Arial"/>
          <w:sz w:val="24"/>
          <w:szCs w:val="24"/>
        </w:rPr>
        <w:t xml:space="preserve">Ce chapitre a établi les principes directeurs de l'architecture réactive, hybride et composable qui constitue le système nerveux numérique de l'entreprise agentique. Ces principes ne sont pas des abstractions théoriques; ils répondent à des impératifs métier concrets.</w:t>
      </w: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conscience situationnelle</w:t>
      </w:r>
      <w:r>
        <w:rPr>
          <w:rFonts w:ascii="Arial" w:cs="Arial" w:eastAsia="Arial" w:hAnsi="Arial"/>
          <w:sz w:val="24"/>
          <w:szCs w:val="24"/>
        </w:rPr>
        <w:t xml:space="preserve"> qu'offre le système nerveux numérique permet de détecter les opportunités et les menaces en temps réel. Les événements qui circulent dans le backbone reflètent la réalité opérationnelle de l'organisation : transactions effectuées, anomalies détectées, changements de contexte. Cette visibilité immédiate transforme la prise de décision.</w:t>
      </w: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symbiose API/événements</w:t>
      </w:r>
      <w:r>
        <w:rPr>
          <w:rFonts w:ascii="Arial" w:cs="Arial" w:eastAsia="Arial" w:hAnsi="Arial"/>
          <w:sz w:val="24"/>
          <w:szCs w:val="24"/>
        </w:rPr>
        <w:t xml:space="preserve"> optimise chaque interaction selon sa nature. Les échanges requérant une réponse immédiate passent par des API synchrones performantes. La propagation des faits métier s'effectue via des événements asynchrones découplés. Cette hybridation offre le meilleur des deux mondes sans les compromis d'une approche unique.</w:t>
      </w:r>
    </w:p>
    <w:p>
      <w:pPr>
        <w:spacing w:after="200" w:line="276"/>
        <w:jc w:val="both"/>
      </w:pPr>
      <w:r>
        <w:rPr>
          <w:rFonts w:ascii="Arial" w:cs="Arial" w:eastAsia="Arial" w:hAnsi="Arial"/>
          <w:sz w:val="24"/>
          <w:szCs w:val="24"/>
        </w:rPr>
        <w:t xml:space="preserve">Les </w:t>
      </w:r>
      <w:r>
        <w:rPr>
          <w:rFonts w:ascii="Arial" w:cs="Arial" w:eastAsia="Arial" w:hAnsi="Arial"/>
          <w:b/>
          <w:bCs/>
          <w:sz w:val="24"/>
          <w:szCs w:val="24"/>
        </w:rPr>
        <w:t xml:space="preserve">propriétés réactives</w:t>
      </w:r>
      <w:r>
        <w:rPr>
          <w:rFonts w:ascii="Arial" w:cs="Arial" w:eastAsia="Arial" w:hAnsi="Arial"/>
          <w:sz w:val="24"/>
          <w:szCs w:val="24"/>
        </w:rPr>
        <w:t xml:space="preserve"> — réactivité, résilience, élasticité, orientation messages — garantissent un système qui répond rapidement, survit aux défaillances, s'adapte à la charge et évolue avec souplesse. Ces propriétés ne sont pas des luxes techniques; elles sont les conditions de la compétitivité à l'ère numérique.</w:t>
      </w: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composabilité</w:t>
      </w:r>
      <w:r>
        <w:rPr>
          <w:rFonts w:ascii="Arial" w:cs="Arial" w:eastAsia="Arial" w:hAnsi="Arial"/>
          <w:sz w:val="24"/>
          <w:szCs w:val="24"/>
        </w:rPr>
        <w:t xml:space="preserve"> transforme l'architecture en plateforme de création de valeur. Les capacités métier, exposées sous forme de blocs réutilisables, peuvent être assemblées rapidement pour créer de nouvelles solutions. Cette agilité architecturale soutient l'agilité stratégique de l'organisation.</w:t>
      </w:r>
    </w:p>
    <w:p>
      <w:pPr>
        <w:spacing w:after="200" w:line="276"/>
        <w:jc w:val="both"/>
      </w:pPr>
      <w:r>
        <w:rPr>
          <w:rFonts w:ascii="Arial" w:cs="Arial" w:eastAsia="Arial" w:hAnsi="Arial"/>
          <w:sz w:val="24"/>
          <w:szCs w:val="24"/>
        </w:rPr>
        <w:t xml:space="preserve">Les chapitres suivants de cette partie détailleront les composantes techniques du système nerveux numérique : écosystème API (Chapitre I.5), architecture orientée événements (Chapitre I.6), contrats de données (Chapitre I.7), infrastructure et observabilité (Chapitre I.8). Le Chapitre I.9 illustrera ces concepts par des études de cas des géants du numérique.</w:t>
      </w:r>
    </w:p>
    <w:p>
      <w:r>
        <w:br w:type="page"/>
      </w:r>
    </w:p>
    <w:p>
      <w:pPr>
        <w:pStyle w:val="Heading2"/>
      </w:pPr>
      <w:r>
        <w:t xml:space="preserve">I.4.6 Résumé</w:t>
      </w:r>
    </w:p>
    <w:p>
      <w:pPr>
        <w:spacing w:after="200" w:line="276"/>
        <w:jc w:val="both"/>
      </w:pPr>
      <w:r>
        <w:rPr>
          <w:rFonts w:ascii="Arial" w:cs="Arial" w:eastAsia="Arial" w:hAnsi="Arial"/>
          <w:sz w:val="24"/>
          <w:szCs w:val="24"/>
        </w:rPr>
        <w:t xml:space="preserve">Ce chapitre a établi les principes directeurs de l'architecture réactive, hybride et composable :</w:t>
      </w:r>
    </w:p>
    <w:p>
      <w:pPr>
        <w:spacing w:after="200" w:line="276"/>
        <w:jc w:val="both"/>
      </w:pPr>
      <w:r>
        <w:rPr>
          <w:rFonts w:ascii="Arial" w:cs="Arial" w:eastAsia="Arial" w:hAnsi="Arial"/>
          <w:b/>
          <w:bCs/>
          <w:sz w:val="24"/>
          <w:szCs w:val="24"/>
        </w:rPr>
        <w:t xml:space="preserve">Le système nerveux numérique </w:t>
      </w:r>
      <w:r>
        <w:rPr>
          <w:rFonts w:ascii="Arial" w:cs="Arial" w:eastAsia="Arial" w:hAnsi="Arial"/>
          <w:sz w:val="24"/>
          <w:szCs w:val="24"/>
        </w:rPr>
        <w:t xml:space="preserve">constitue la métaphore organisatrice de l'architecture. Il vise la conscience situationnelle (percevoir l'environnement), la réactivité (répondre rapidement), la résilience (survivre aux défaillances) et l'adaptabilité (évoluer avec le contexte). Le backbone événementiel en est la moelle épinière, les API les interfaces sensorielles et motrices, les agents cognitifs les centres de traitement.</w:t>
      </w:r>
    </w:p>
    <w:p>
      <w:pPr>
        <w:spacing w:after="200" w:line="276"/>
        <w:jc w:val="both"/>
      </w:pPr>
      <w:r>
        <w:rPr>
          <w:rFonts w:ascii="Arial" w:cs="Arial" w:eastAsia="Arial" w:hAnsi="Arial"/>
          <w:b/>
          <w:bCs/>
          <w:sz w:val="24"/>
          <w:szCs w:val="24"/>
        </w:rPr>
        <w:t xml:space="preserve">La symbiose API/événements </w:t>
      </w:r>
      <w:r>
        <w:rPr>
          <w:rFonts w:ascii="Arial" w:cs="Arial" w:eastAsia="Arial" w:hAnsi="Arial"/>
          <w:sz w:val="24"/>
          <w:szCs w:val="24"/>
        </w:rPr>
        <w:t xml:space="preserve">combine les forces des interactions synchrones et asynchrones. Les API synchrones (REST, GraphQL, gRPC) gèrent les requêtes nécessitant une réponse immédiate. Les événements asynchrones propagent les faits métier avec découplage temporel. Les patterns hybrides (CQRS, Event Sourcing, Saga) exploitent cette complémentarité.</w:t>
      </w:r>
    </w:p>
    <w:p>
      <w:pPr>
        <w:spacing w:after="200" w:line="276"/>
        <w:jc w:val="both"/>
      </w:pPr>
      <w:r>
        <w:rPr>
          <w:rFonts w:ascii="Arial" w:cs="Arial" w:eastAsia="Arial" w:hAnsi="Arial"/>
          <w:b/>
          <w:bCs/>
          <w:sz w:val="24"/>
          <w:szCs w:val="24"/>
        </w:rPr>
        <w:t xml:space="preserve">Le Manifeste Réactif </w:t>
      </w:r>
      <w:r>
        <w:rPr>
          <w:rFonts w:ascii="Arial" w:cs="Arial" w:eastAsia="Arial" w:hAnsi="Arial"/>
          <w:sz w:val="24"/>
          <w:szCs w:val="24"/>
        </w:rPr>
        <w:t xml:space="preserve">définit quatre propriétés interdépendantes : réactif (réponse rapide et cohérente), résilient (disponible malgré les défaillances), élastique (adaptatif à la charge), orienté messages (communication asynchrone fondamentale). L'orientation messages est le fondement qui permet les trois autres propriétés.</w:t>
      </w:r>
    </w:p>
    <w:p>
      <w:pPr>
        <w:spacing w:after="200" w:line="276"/>
        <w:jc w:val="both"/>
      </w:pPr>
      <w:r>
        <w:rPr>
          <w:rFonts w:ascii="Arial" w:cs="Arial" w:eastAsia="Arial" w:hAnsi="Arial"/>
          <w:b/>
          <w:bCs/>
          <w:sz w:val="24"/>
          <w:szCs w:val="24"/>
        </w:rPr>
        <w:t xml:space="preserve">La composabilité </w:t>
      </w:r>
      <w:r>
        <w:rPr>
          <w:rFonts w:ascii="Arial" w:cs="Arial" w:eastAsia="Arial" w:hAnsi="Arial"/>
          <w:sz w:val="24"/>
          <w:szCs w:val="24"/>
        </w:rPr>
        <w:t xml:space="preserve">permet la recomposition rapide des capacités. Les Packaged Business Capabilities (PBC) encapsulent des fonctionnalités métier réutilisables. La modularité, l'autonomie et l'orchestrabilité sont les principes clés. Les contrats de données formalisent les interfaces entre composants. Pour l'entreprise agentique, les agents cognitifs deviennent eux-mêmes des composants orchestrables.</w:t>
      </w:r>
    </w:p>
    <w:p>
      <w:pPr>
        <w:spacing w:after="300"/>
      </w:pPr>
    </w:p>
    <w:p>
      <w:pPr>
        <w:spacing w:after="200"/>
      </w:pPr>
      <w:r>
        <w:rPr>
          <w:rFonts w:ascii="Arial" w:cs="Arial" w:eastAsia="Arial" w:hAnsi="Arial"/>
          <w:b/>
          <w:bCs/>
          <w:sz w:val="24"/>
          <w:szCs w:val="24"/>
        </w:rPr>
        <w:t xml:space="preserve">Tableau de synthèse : Les piliers de l'architecture réactive et composable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Pilier</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Objectif</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Moyens clés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Réactivité</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Réponse rapide et cohérente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Temps de latence garanti, monitoring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Résilience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Disponibilité malgré pannes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breakers, bulkheads, retries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Élasticité</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Adaptation à la charge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Kubernetes, auto-scaling, stateless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Messages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Découplage temporel et spatial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événements, publication/souscription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Composabilité</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Assemblage rapide de solutions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PBC, contrats de données, API</w:t>
            </w:r>
          </w:p>
        </w:tc>
      </w:tr>
    </w:tbl>
    <w:p>
      <w:pPr>
        <w:spacing w:after="400"/>
      </w:pPr>
    </w:p>
    <w:p>
      <w:pPr>
        <w:jc w:val="center"/>
      </w:pPr>
      <w:r>
        <w:rPr>
          <w:color w:val="4A90D9"/>
          <w:sz w:val="24"/>
          <w:szCs w:val="24"/>
        </w:rPr>
        <w:t xml:space="preserve">───────────────────────────────</w:t>
      </w:r>
    </w:p>
    <w:p>
      <w:pPr>
        <w:spacing w:before="200"/>
        <w:jc w:val="center"/>
      </w:pPr>
      <w:r>
        <w:rPr>
          <w:rFonts w:ascii="Arial" w:cs="Arial" w:eastAsia="Arial" w:hAnsi="Arial"/>
          <w:i/>
          <w:iCs/>
          <w:color w:val="2E5B8A"/>
          <w:sz w:val="22"/>
          <w:szCs w:val="22"/>
        </w:rPr>
        <w:t xml:space="preserve">Le Chapitre I.5 qui suit détaille l'écosystème API : protocoles modernes (REST, gRPC, GraphQL), paradigme « API-as-a-Product » et gouvernance des interfaces synchrones du système nerveux numérique.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5B8A"/>
        <w:sz w:val="18"/>
        <w:szCs w:val="18"/>
      </w:rPr>
      <w:t xml:space="preserve">Volume I : Fondations de l'Entreprise Agentique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5B8A"/>
        <w:sz w:val="20"/>
        <w:szCs w:val="20"/>
      </w:rPr>
      <w:t xml:space="preserve">Chapitre I.4 — Principes de l'Architecture Réactive, Hybride et Composable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B8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2026-01-11T11:53:39.378Z</dcterms:created>
  <dcterms:modified xsi:type="dcterms:W3CDTF">2026-01-11T11:53:39.379Z</dcterms:modified>
</cp:coreProperties>
</file>

<file path=docProps/custom.xml><?xml version="1.0" encoding="utf-8"?>
<Properties xmlns="http://schemas.openxmlformats.org/officeDocument/2006/custom-properties" xmlns:vt="http://schemas.openxmlformats.org/officeDocument/2006/docPropsVTypes"/>
</file>