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0"/>
      </w:pPr>
    </w:p>
    <w:p>
      <w:pPr>
        <w:spacing w:after="200"/>
        <w:jc w:val="center"/>
      </w:pPr>
      <w:r>
        <w:rPr>
          <w:rFonts w:ascii="Arial" w:cs="Arial" w:eastAsia="Arial" w:hAnsi="Arial"/>
          <w:color w:val="2E5B8A"/>
          <w:sz w:val="28"/>
          <w:szCs w:val="28"/>
        </w:rPr>
        <w:t xml:space="preserve">PARTIE 2</w:t>
      </w:r>
    </w:p>
    <w:p>
      <w:pPr>
        <w:spacing w:after="600"/>
        <w:jc w:val="center"/>
      </w:pPr>
      <w:r>
        <w:rPr>
          <w:rFonts w:ascii="Arial" w:cs="Arial" w:eastAsia="Arial" w:hAnsi="Arial"/>
          <w:b/>
          <w:bCs/>
          <w:color w:val="1E3A5F"/>
          <w:sz w:val="36"/>
          <w:szCs w:val="36"/>
        </w:rPr>
        <w:t xml:space="preserve">ARCHITECTURE RÉACTIVE ET ÉCOSYSTÈME</w:t>
      </w:r>
    </w:p>
    <w:p>
      <w:pPr>
        <w:jc w:val="center"/>
      </w:pPr>
      <w:r>
        <w:rPr>
          <w:color w:val="4A90D9"/>
          <w:sz w:val="28"/>
          <w:szCs w:val="28"/>
        </w:rPr>
        <w:t xml:space="preserve">───────────────────────────────</w:t>
      </w:r>
    </w:p>
    <w:p>
      <w:pPr>
        <w:spacing w:after="800"/>
      </w:pPr>
    </w:p>
    <w:p>
      <w:pPr>
        <w:spacing w:after="200"/>
        <w:jc w:val="center"/>
      </w:pPr>
      <w:r>
        <w:rPr>
          <w:rFonts w:ascii="Arial" w:cs="Arial" w:eastAsia="Arial" w:hAnsi="Arial"/>
          <w:color w:val="2E5B8A"/>
          <w:sz w:val="32"/>
          <w:szCs w:val="32"/>
        </w:rPr>
        <w:t xml:space="preserve">CHAPITRE I.5</w:t>
      </w:r>
    </w:p>
    <w:p>
      <w:pPr>
        <w:spacing w:after="300"/>
        <w:jc w:val="center"/>
      </w:pPr>
      <w:r>
        <w:rPr>
          <w:rFonts w:ascii="Arial" w:cs="Arial" w:eastAsia="Arial" w:hAnsi="Arial"/>
          <w:b/>
          <w:bCs/>
          <w:color w:val="1E3A5F"/>
          <w:sz w:val="40"/>
          <w:szCs w:val="40"/>
        </w:rPr>
        <w:t xml:space="preserve">ÉCOSYSTÈME API :</w:t>
      </w:r>
    </w:p>
    <w:p>
      <w:pPr>
        <w:spacing w:after="100"/>
        <w:jc w:val="center"/>
      </w:pPr>
      <w:r>
        <w:rPr>
          <w:rFonts w:ascii="Arial" w:cs="Arial" w:eastAsia="Arial" w:hAnsi="Arial"/>
          <w:b/>
          <w:bCs/>
          <w:color w:val="1E3A5F"/>
          <w:sz w:val="40"/>
          <w:szCs w:val="40"/>
        </w:rPr>
        <w:t xml:space="preserve">PROTOCOLES MODERNES ET STRATÉGIE PRODUIT</w:t>
      </w:r>
    </w:p>
    <w:p>
      <w:pPr>
        <w:spacing w:after="3500"/>
      </w:pPr>
    </w:p>
    <w:p>
      <w:pPr>
        <w:spacing w:after="200"/>
        <w:jc w:val="center"/>
      </w:pPr>
      <w:r>
        <w:rPr>
          <w:rFonts w:ascii="Arial" w:cs="Arial" w:eastAsia="Arial" w:hAnsi="Arial"/>
          <w:i/>
          <w:iCs/>
          <w:color w:val="2E5B8A"/>
          <w:sz w:val="24"/>
          <w:szCs w:val="24"/>
        </w:rPr>
        <w:t xml:space="preserve">Volume I : Fondations de l'Entreprise Agentique</w:t>
      </w:r>
    </w:p>
    <w:p>
      <w:pPr>
        <w:sectPr>
          <w:pgSz w:w="12240" w:h="15840" w:orient="portrait"/>
          <w:pgMar w:top="1440" w:right="1440" w:bottom="1440" w:left="1440" w:header="708" w:footer="708" w:gutter="0"/>
          <w:pgNumType/>
          <w:docGrid w:linePitch="360"/>
        </w:sectPr>
      </w:pPr>
    </w:p>
    <w:p>
      <w:pPr>
        <w:pStyle w:val="Heading1"/>
      </w:pPr>
      <w:r>
        <w:t xml:space="preserve">CHAPITRE I.5 — ÉCOSYSTÈME API : PROTOCOLES MODERNES ET STRATÉGIE PRODUIT</w:t>
      </w:r>
    </w:p>
    <w:p>
      <w:pPr>
        <w:spacing w:after="200" w:line="276"/>
        <w:jc w:val="both"/>
      </w:pPr>
      <w:r>
        <w:rPr>
          <w:rFonts w:ascii="Arial" w:cs="Arial" w:eastAsia="Arial" w:hAnsi="Arial"/>
          <w:sz w:val="24"/>
          <w:szCs w:val="24"/>
        </w:rPr>
        <w:t xml:space="preserve">Le chapitre précédent a établi les principes de l'architecture réactive et la symbiose entre API et événements. Ce chapitre approfondit le premier volet de cette symbiose : les API synchrones qui constituent les interfaces sensorielles et motrices du système nerveux numérique.</w:t>
      </w:r>
    </w:p>
    <w:p>
      <w:pPr>
        <w:spacing w:after="200" w:line="276"/>
        <w:jc w:val="both"/>
      </w:pPr>
      <w:r>
        <w:rPr>
          <w:rFonts w:ascii="Arial" w:cs="Arial" w:eastAsia="Arial" w:hAnsi="Arial"/>
          <w:sz w:val="24"/>
          <w:szCs w:val="24"/>
        </w:rPr>
        <w:t xml:space="preserve">Les API (Application Programming Interfaces) ont cessé d'être de simples artefacts techniques pour devenir des actifs stratégiques de l'entreprise. Elles définissent comment l'organisation expose ses capacités au monde extérieur, comment elle intègre les services de partenaires, comment ses systèmes internes collaborent. Dans l'économie numérique, la qualité et la richesse des API déterminent largement le potentiel d'innovation et de partenariat.</w:t>
      </w:r>
    </w:p>
    <w:p>
      <w:pPr>
        <w:spacing w:after="200" w:line="276"/>
        <w:jc w:val="both"/>
      </w:pPr>
      <w:r>
        <w:rPr>
          <w:rFonts w:ascii="Arial" w:cs="Arial" w:eastAsia="Arial" w:hAnsi="Arial"/>
          <w:sz w:val="24"/>
          <w:szCs w:val="24"/>
        </w:rPr>
        <w:t xml:space="preserve">Ce chapitre examine l'écosystème API sous trois angles complémentaires. Nous analyserons d'abord le rôle stratégique des API comme interfaces de l'entreprise. Nous comparerons ensuite les protocoles modernes — REST, gRPC, GraphQL — en éclairant leurs forces respectives et leurs cas d'usage. Nous explorerons enfin les dimensions de gestion et de gouvernance qui transforment les API en véritables produits.</w:t>
      </w:r>
    </w:p>
    <w:p>
      <w:pPr>
        <w:pStyle w:val="Heading2"/>
      </w:pPr>
      <w:r>
        <w:t xml:space="preserve">I.5.1 L'API comme Interface Stratégique de l'Entreprise</w:t>
      </w:r>
    </w:p>
    <w:p>
      <w:pPr>
        <w:spacing w:after="200" w:line="276"/>
        <w:jc w:val="both"/>
      </w:pPr>
      <w:r>
        <w:rPr>
          <w:rFonts w:ascii="Arial" w:cs="Arial" w:eastAsia="Arial" w:hAnsi="Arial"/>
          <w:sz w:val="24"/>
          <w:szCs w:val="24"/>
        </w:rPr>
        <w:t xml:space="preserve">L'évolution du rôle des API illustre un changement de paradigme dans la conception des systèmes d'information. Longtemps considérées comme des détails d'implémentation technique, les API sont devenues des frontières stratégiques qui définissent ce que l'organisation peut faire et avec qui elle peut collaborer.</w:t>
      </w:r>
    </w:p>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65100" w:sz="12"/>
              <w:bottom w:val="none" w:color="FFFFFF" w:sz="0"/>
              <w:right w:val="none" w:color="FFFFFF" w:sz="0"/>
            </w:tcBorders>
            <w:shd w:fill="FFF3E0" w:val="clear"/>
            <w:tcMar>
              <w:top w:type="dxa" w:w="150"/>
              <w:left w:type="dxa" w:w="200"/>
              <w:bottom w:type="dxa" w:w="150"/>
              <w:right w:type="dxa" w:w="200"/>
            </w:tcMar>
          </w:tcPr>
          <w:p>
            <w:pPr>
              <w:spacing w:after="100"/>
            </w:pPr>
            <w:r>
              <w:rPr>
                <w:rFonts w:ascii="Arial" w:cs="Arial" w:eastAsia="Arial" w:hAnsi="Arial"/>
                <w:b/>
                <w:bCs/>
                <w:color w:val="E65100"/>
                <w:sz w:val="22"/>
                <w:szCs w:val="22"/>
              </w:rPr>
              <w:t xml:space="preserve">Définition formelle</w:t>
            </w:r>
          </w:p>
          <w:p>
            <w:pPr>
              <w:spacing w:after="80"/>
            </w:pPr>
            <w:r>
              <w:rPr>
                <w:rFonts w:ascii="Arial" w:cs="Arial" w:eastAsia="Arial" w:hAnsi="Arial"/>
                <w:i/>
                <w:iCs/>
                <w:sz w:val="22"/>
                <w:szCs w:val="22"/>
              </w:rPr>
              <w:t xml:space="preserve">API (Application Programming Interface) : Contrat formel définissant comment un composant logiciel expose ses capacités à d'autres composants. Ce contrat spécifie les opérations disponibles, les formats de données acceptés et retournés, les règles d'authentification et les garanties de niveau de service.</w:t>
            </w:r>
          </w:p>
        </w:tc>
      </w:tr>
    </w:tbl>
    <w:p>
      <w:pPr>
        <w:spacing w:after="200"/>
      </w:pPr>
    </w:p>
    <w:p>
      <w:pPr>
        <w:spacing w:after="200" w:line="276"/>
        <w:jc w:val="both"/>
      </w:pPr>
      <w:r>
        <w:rPr>
          <w:rFonts w:ascii="Arial" w:cs="Arial" w:eastAsia="Arial" w:hAnsi="Arial"/>
          <w:sz w:val="24"/>
          <w:szCs w:val="24"/>
        </w:rPr>
        <w:t xml:space="preserve">Jeff Bezos a cristallisé cette vision stratégique dans son célèbre « </w:t>
      </w:r>
      <w:r>
        <w:rPr>
          <w:rFonts w:ascii="Arial" w:cs="Arial" w:eastAsia="Arial" w:hAnsi="Arial"/>
          <w:b/>
          <w:bCs/>
          <w:sz w:val="24"/>
          <w:szCs w:val="24"/>
        </w:rPr>
        <w:t xml:space="preserve">API Mandate</w:t>
      </w:r>
      <w:r>
        <w:rPr>
          <w:rFonts w:ascii="Arial" w:cs="Arial" w:eastAsia="Arial" w:hAnsi="Arial"/>
          <w:sz w:val="24"/>
          <w:szCs w:val="24"/>
        </w:rPr>
        <w:t xml:space="preserve"> » de 2002, qui exigeait que toutes les équipes d'Amazon exposent leurs fonctionnalités via des interfaces de service, sans exception. Ce mandat, apparemment technique, a transformé Amazon d'un détaillant en ligne en une plateforme d'innovation. AWS, aujourd'hui le leader mondial de l'infonuagique, est né de cette discipline d'exposition systématique des capacités internes.</w:t>
      </w:r>
    </w:p>
    <w:p>
      <w:pPr>
        <w:spacing w:after="200" w:line="276"/>
        <w:jc w:val="both"/>
      </w:pPr>
      <w:r>
        <w:rPr>
          <w:rFonts w:ascii="Arial" w:cs="Arial" w:eastAsia="Arial" w:hAnsi="Arial"/>
          <w:sz w:val="24"/>
          <w:szCs w:val="24"/>
        </w:rPr>
        <w:t xml:space="preserve">La dimension stratégique des API se manifeste à plusieurs niveaux. En interne, elles définissent les frontières entre équipes et systèmes, permettant l'autonomie et l'évolution indépendante. Avec les partenaires, elles établissent les termes de la collaboration, transformant les relations commerciales en intégrations techniques. Vers le marché, elles ouvrent l'accès aux capacités de l'entreprise, créant des écosystèmes de développeurs et de solutions dérivées.</w:t>
      </w:r>
    </w:p>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B1FA2" w:sz="12"/>
              <w:bottom w:val="none" w:color="FFFFFF" w:sz="0"/>
              <w:right w:val="none" w:color="FFFFFF" w:sz="0"/>
            </w:tcBorders>
            <w:shd w:fill="F3E5F5" w:val="clear"/>
            <w:tcMar>
              <w:top w:type="dxa" w:w="150"/>
              <w:left w:type="dxa" w:w="200"/>
              <w:bottom w:type="dxa" w:w="150"/>
              <w:right w:type="dxa" w:w="200"/>
            </w:tcMar>
          </w:tcPr>
          <w:p>
            <w:pPr>
              <w:spacing w:after="100"/>
            </w:pPr>
            <w:r>
              <w:rPr>
                <w:rFonts w:ascii="Arial" w:cs="Arial" w:eastAsia="Arial" w:hAnsi="Arial"/>
                <w:b/>
                <w:bCs/>
                <w:color w:val="7B1FA2"/>
                <w:sz w:val="22"/>
                <w:szCs w:val="22"/>
              </w:rPr>
              <w:t xml:space="preserve">Exemple concret</w:t>
            </w:r>
          </w:p>
          <w:p>
            <w:pPr>
              <w:spacing w:after="80"/>
            </w:pPr>
            <w:r>
              <w:rPr>
                <w:rFonts w:ascii="Arial" w:cs="Arial" w:eastAsia="Arial" w:hAnsi="Arial"/>
                <w:i/>
                <w:iCs/>
                <w:sz w:val="22"/>
                <w:szCs w:val="22"/>
              </w:rPr>
              <w:t xml:space="preserve">Twilio a construit un empire valorisé à plusieurs milliards de dollars en exposant des capacités de communication (SMS, voix, vidéo) via des API élégantes. L'entreprise ne possède pas d'infrastructure télécom; elle agrège celles des opérateurs et les expose via une interface unifiée, simple et bien documentée. La valeur réside entièrement dans la qualité de l'API et de l'expérience développeur.</w:t>
            </w:r>
          </w:p>
        </w:tc>
      </w:tr>
    </w:tbl>
    <w:p>
      <w:pPr>
        <w:spacing w:after="200"/>
      </w:pPr>
    </w:p>
    <w:p>
      <w:pPr>
        <w:spacing w:after="200" w:line="276"/>
        <w:jc w:val="both"/>
      </w:pPr>
      <w:r>
        <w:rPr>
          <w:rFonts w:ascii="Arial" w:cs="Arial" w:eastAsia="Arial" w:hAnsi="Arial"/>
          <w:sz w:val="24"/>
          <w:szCs w:val="24"/>
        </w:rPr>
        <w:t xml:space="preserve">La typologie des API reflète leur positionnement stratégique. Les </w:t>
      </w:r>
      <w:r>
        <w:rPr>
          <w:rFonts w:ascii="Arial" w:cs="Arial" w:eastAsia="Arial" w:hAnsi="Arial"/>
          <w:b/>
          <w:bCs/>
          <w:sz w:val="24"/>
          <w:szCs w:val="24"/>
        </w:rPr>
        <w:t xml:space="preserve">API privées</w:t>
      </w:r>
      <w:r>
        <w:rPr>
          <w:rFonts w:ascii="Arial" w:cs="Arial" w:eastAsia="Arial" w:hAnsi="Arial"/>
          <w:sz w:val="24"/>
          <w:szCs w:val="24"/>
        </w:rPr>
        <w:t xml:space="preserve"> (ou internes) servent la communication entre systèmes de l'organisation; elles favorisent la modularité et la réutilisation. Les </w:t>
      </w:r>
      <w:r>
        <w:rPr>
          <w:rFonts w:ascii="Arial" w:cs="Arial" w:eastAsia="Arial" w:hAnsi="Arial"/>
          <w:b/>
          <w:bCs/>
          <w:sz w:val="24"/>
          <w:szCs w:val="24"/>
        </w:rPr>
        <w:t xml:space="preserve">API partenaires</w:t>
      </w:r>
      <w:r>
        <w:rPr>
          <w:rFonts w:ascii="Arial" w:cs="Arial" w:eastAsia="Arial" w:hAnsi="Arial"/>
          <w:sz w:val="24"/>
          <w:szCs w:val="24"/>
        </w:rPr>
        <w:t xml:space="preserve"> s'ouvrent à un cercle contrôlé de collaborateurs externes, dans le cadre de relations contractuelles. Les </w:t>
      </w:r>
      <w:r>
        <w:rPr>
          <w:rFonts w:ascii="Arial" w:cs="Arial" w:eastAsia="Arial" w:hAnsi="Arial"/>
          <w:b/>
          <w:bCs/>
          <w:sz w:val="24"/>
          <w:szCs w:val="24"/>
        </w:rPr>
        <w:t xml:space="preserve">API publiques</w:t>
      </w:r>
      <w:r>
        <w:rPr>
          <w:rFonts w:ascii="Arial" w:cs="Arial" w:eastAsia="Arial" w:hAnsi="Arial"/>
          <w:sz w:val="24"/>
          <w:szCs w:val="24"/>
        </w:rPr>
        <w:t xml:space="preserve"> s'adressent au marché dans son ensemble, créant des opportunités d'écosystème mais exposant aussi l'entreprise à des risques de dépendance et de rétro-ingénierie.</w:t>
      </w:r>
    </w:p>
    <w:p>
      <w:pPr>
        <w:spacing w:after="200" w:line="276"/>
        <w:jc w:val="both"/>
      </w:pPr>
      <w:r>
        <w:rPr>
          <w:rFonts w:ascii="Arial" w:cs="Arial" w:eastAsia="Arial" w:hAnsi="Arial"/>
          <w:sz w:val="24"/>
          <w:szCs w:val="24"/>
        </w:rPr>
        <w:t xml:space="preserve">Cette progression — du privé au public — ne doit pas être vue comme une obligation mais comme un spectre de possibilités. Chaque API doit être positionnée selon sa valeur stratégique, les risques d'exposition et les opportunités de monétisation. Une API exposant un avantage concurrentiel critique restera probablement privée; une API facilitant l'adoption d'une plateforme gagnera à être publique.</w:t>
      </w:r>
    </w:p>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D32" w:sz="12"/>
              <w:bottom w:val="none" w:color="FFFFFF" w:sz="0"/>
              <w:right w:val="none" w:color="FFFFFF" w:sz="0"/>
            </w:tcBorders>
            <w:shd w:fill="E8F5E9" w:val="clear"/>
            <w:tcMar>
              <w:top w:type="dxa" w:w="150"/>
              <w:left w:type="dxa" w:w="200"/>
              <w:bottom w:type="dxa" w:w="150"/>
              <w:right w:type="dxa" w:w="200"/>
            </w:tcMar>
          </w:tcPr>
          <w:p>
            <w:pPr>
              <w:spacing w:after="100"/>
            </w:pPr>
            <w:r>
              <w:rPr>
                <w:rFonts w:ascii="Arial" w:cs="Arial" w:eastAsia="Arial" w:hAnsi="Arial"/>
                <w:b/>
                <w:bCs/>
                <w:color w:val="2E7D32"/>
                <w:sz w:val="22"/>
                <w:szCs w:val="22"/>
              </w:rPr>
              <w:t xml:space="preserve">Perspective stratégique</w:t>
            </w:r>
          </w:p>
          <w:p>
            <w:pPr>
              <w:spacing w:after="80"/>
            </w:pPr>
            <w:r>
              <w:rPr>
                <w:rFonts w:ascii="Arial" w:cs="Arial" w:eastAsia="Arial" w:hAnsi="Arial"/>
                <w:i/>
                <w:iCs/>
                <w:sz w:val="22"/>
                <w:szCs w:val="22"/>
              </w:rPr>
              <w:t xml:space="preserve">Pour l'entreprise agentique, les API jouent un rôle supplémentaire : elles constituent les points d'ancrage des agents cognitifs dans le monde réel. Un agent qui doit réserver un vol, envoyer un courriel ou mettre à jour un dossier client le fait via des API. La richesse et la fiabilité des API disponibles déterminent directement les capacités d'action des agents.</w:t>
            </w:r>
          </w:p>
        </w:tc>
      </w:tr>
    </w:tbl>
    <w:p>
      <w:pPr>
        <w:spacing w:after="200"/>
      </w:pPr>
    </w:p>
    <w:p>
      <w:pPr>
        <w:pStyle w:val="Heading2"/>
      </w:pPr>
      <w:r>
        <w:t xml:space="preserve">I.5.2 Analyse Comparative des Protocoles Modernes (REST, gRPC, GraphQL)</w:t>
      </w:r>
    </w:p>
    <w:p>
      <w:pPr>
        <w:spacing w:after="200" w:line="276"/>
        <w:jc w:val="both"/>
      </w:pPr>
      <w:r>
        <w:rPr>
          <w:rFonts w:ascii="Arial" w:cs="Arial" w:eastAsia="Arial" w:hAnsi="Arial"/>
          <w:sz w:val="24"/>
          <w:szCs w:val="24"/>
        </w:rPr>
        <w:t xml:space="preserve">Le paysage des protocoles API a considérablement évolué au cours de la dernière décennie. Si REST demeure le standard dominant, des alternatives comme gRPC et GraphQL ont émergé pour répondre à des besoins spécifiques. Comprendre les forces et les limites de chaque approche permet de faire des choix architecturaux éclairés.</w:t>
      </w:r>
    </w:p>
    <w:p>
      <w:pPr>
        <w:pStyle w:val="Heading3"/>
      </w:pPr>
      <w:r>
        <w:t xml:space="preserve">REST : Le Standard Universel</w:t>
      </w:r>
    </w:p>
    <w:p>
      <w:pPr>
        <w:spacing w:after="200" w:line="276"/>
        <w:jc w:val="both"/>
      </w:pPr>
      <w:r>
        <w:rPr>
          <w:rFonts w:ascii="Arial" w:cs="Arial" w:eastAsia="Arial" w:hAnsi="Arial"/>
          <w:b/>
          <w:bCs/>
          <w:sz w:val="24"/>
          <w:szCs w:val="24"/>
        </w:rPr>
        <w:t xml:space="preserve">REST (Representational State Transfer)</w:t>
      </w:r>
      <w:r>
        <w:rPr>
          <w:rFonts w:ascii="Arial" w:cs="Arial" w:eastAsia="Arial" w:hAnsi="Arial"/>
          <w:sz w:val="24"/>
          <w:szCs w:val="24"/>
        </w:rPr>
        <w:t xml:space="preserve">, formalisé par Roy Fielding dans sa thèse de doctorat en 2000, s'est imposé comme le style architectural dominant pour les API web. Sa simplicité conceptuelle — des ressources identifiées par des URL, manipulées via les verbes HTTP standard — le rend accessible et interopérable.</w:t>
      </w:r>
    </w:p>
    <w:p>
      <w:pPr>
        <w:spacing w:after="200" w:line="276"/>
        <w:jc w:val="both"/>
      </w:pPr>
      <w:r>
        <w:rPr>
          <w:rFonts w:ascii="Arial" w:cs="Arial" w:eastAsia="Arial" w:hAnsi="Arial"/>
          <w:sz w:val="24"/>
          <w:szCs w:val="24"/>
        </w:rPr>
        <w:t xml:space="preserve">Les forces de REST résident dans son universalité. Tout client HTTP peut consommer une API REST sans outillage particulier. Les développeurs comprennent intuitivement le modèle de ressources. La mise en cache HTTP s'applique naturellement. L'écosystème d'outils — documentation avec OpenAPI/Swagger, tests avec Postman, génération de code — est mature et riche.</w:t>
      </w:r>
    </w:p>
    <w:p>
      <w:pPr>
        <w:spacing w:after="200" w:line="276"/>
        <w:jc w:val="both"/>
      </w:pPr>
      <w:r>
        <w:rPr>
          <w:rFonts w:ascii="Arial" w:cs="Arial" w:eastAsia="Arial" w:hAnsi="Arial"/>
          <w:sz w:val="24"/>
          <w:szCs w:val="24"/>
        </w:rPr>
        <w:t xml:space="preserve">Les limites de REST apparaissent à grande échelle ou dans des contextes spécifiques. Le sur-fetching (récupérer plus de données que nécessaire) et le sous-fetching (nécessiter plusieurs appels pour assembler une vue) créent des inefficacités. L'absence de typage fort complique la validation et l'évolution des contrats. La sérialisation JSON, bien que lisible, est moins performante que les formats binaires.</w:t>
      </w:r>
    </w:p>
    <w:p>
      <w:pPr>
        <w:pStyle w:val="Heading3"/>
      </w:pPr>
      <w:r>
        <w:t xml:space="preserve">gRPC : La Performance au Service des Microservices</w:t>
      </w:r>
    </w:p>
    <w:p>
      <w:pPr>
        <w:spacing w:after="200" w:line="276"/>
        <w:jc w:val="both"/>
      </w:pPr>
      <w:r>
        <w:rPr>
          <w:rFonts w:ascii="Arial" w:cs="Arial" w:eastAsia="Arial" w:hAnsi="Arial"/>
          <w:b/>
          <w:bCs/>
          <w:sz w:val="24"/>
          <w:szCs w:val="24"/>
        </w:rPr>
        <w:t xml:space="preserve">gRPC</w:t>
      </w:r>
      <w:r>
        <w:rPr>
          <w:rFonts w:ascii="Arial" w:cs="Arial" w:eastAsia="Arial" w:hAnsi="Arial"/>
          <w:sz w:val="24"/>
          <w:szCs w:val="24"/>
        </w:rPr>
        <w:t xml:space="preserve">, développé par Google et rendu open source en 2015, privilégie la performance et le typage fort. Il s'appuie sur HTTP/2 pour le transport (multiplexage, compression des en-têtes) et Protocol Buffers pour la sérialisation (format binaire compact, schémas explicites).</w:t>
      </w:r>
    </w:p>
    <w:p>
      <w:pPr>
        <w:spacing w:after="200" w:line="276"/>
        <w:jc w:val="both"/>
      </w:pPr>
      <w:r>
        <w:rPr>
          <w:rFonts w:ascii="Arial" w:cs="Arial" w:eastAsia="Arial" w:hAnsi="Arial"/>
          <w:sz w:val="24"/>
          <w:szCs w:val="24"/>
        </w:rPr>
        <w:t xml:space="preserve">Les avantages de gRPC sont particulièrement marqués dans les communications inter-services au sein d'une architecture de microservices. Les performances sont significativement supérieures à REST/JSON : latence réduite, bande passante optimisée, charge CPU diminuée. Le typage fort via les fichiers .proto garantit la cohérence des contrats et permet la génération automatique de code client et serveur dans de nombreux langages.</w:t>
      </w:r>
    </w:p>
    <w:p>
      <w:pPr>
        <w:spacing w:after="200" w:line="276"/>
        <w:jc w:val="both"/>
      </w:pPr>
      <w:r>
        <w:rPr>
          <w:rFonts w:ascii="Arial" w:cs="Arial" w:eastAsia="Arial" w:hAnsi="Arial"/>
          <w:sz w:val="24"/>
          <w:szCs w:val="24"/>
        </w:rPr>
        <w:t xml:space="preserve">Les contraintes de gRPC limitent son adoption pour les API publiques. Le format binaire n'est pas directement lisible par un humain, compliquant le débogage. Le support navigateur nécessite un proxy (gRPC-Web). L'écosystème d'outils est moins mature que celui de REST. Pour ces raisons, gRPC excelle en communication interne (« east-west ») tandis que REST reste préféré pour les interfaces externes (« north-south »).</w:t>
      </w:r>
    </w:p>
    <w:p>
      <w:pPr>
        <w:pStyle w:val="Heading3"/>
      </w:pPr>
      <w:r>
        <w:t xml:space="preserve">GraphQL : La Flexibilité pour les Clients</w:t>
      </w:r>
    </w:p>
    <w:p>
      <w:pPr>
        <w:spacing w:after="200" w:line="276"/>
        <w:jc w:val="both"/>
      </w:pPr>
      <w:r>
        <w:rPr>
          <w:rFonts w:ascii="Arial" w:cs="Arial" w:eastAsia="Arial" w:hAnsi="Arial"/>
          <w:b/>
          <w:bCs/>
          <w:sz w:val="24"/>
          <w:szCs w:val="24"/>
        </w:rPr>
        <w:t xml:space="preserve">GraphQL</w:t>
      </w:r>
      <w:r>
        <w:rPr>
          <w:rFonts w:ascii="Arial" w:cs="Arial" w:eastAsia="Arial" w:hAnsi="Arial"/>
          <w:sz w:val="24"/>
          <w:szCs w:val="24"/>
        </w:rPr>
        <w:t xml:space="preserve">, créé par Facebook en 2012 et publié en 2015, renverse la logique traditionnelle des API. Au lieu que le serveur définisse les endpoints et les structures de réponse, le client spécifie exactement les données dont il a besoin via un langage de requête déclaratif.</w:t>
      </w:r>
    </w:p>
    <w:p>
      <w:pPr>
        <w:spacing w:after="200" w:line="276"/>
        <w:jc w:val="both"/>
      </w:pPr>
      <w:r>
        <w:rPr>
          <w:rFonts w:ascii="Arial" w:cs="Arial" w:eastAsia="Arial" w:hAnsi="Arial"/>
          <w:sz w:val="24"/>
          <w:szCs w:val="24"/>
        </w:rPr>
        <w:t xml:space="preserve">Cette flexibilité résout élégamment les problèmes de sur-fetching et sous-fetching. Une application mobile, contrainte en bande passante, peut demander uniquement les champs essentiels. Une application web riche peut récupérer des graphes de données complexes en une seule requête. L'introspection du schéma permet une découverte dynamique des capacités de l'API.</w:t>
      </w:r>
    </w:p>
    <w:p>
      <w:pPr>
        <w:spacing w:after="200" w:line="276"/>
        <w:jc w:val="both"/>
      </w:pPr>
      <w:r>
        <w:rPr>
          <w:rFonts w:ascii="Arial" w:cs="Arial" w:eastAsia="Arial" w:hAnsi="Arial"/>
          <w:sz w:val="24"/>
          <w:szCs w:val="24"/>
        </w:rPr>
        <w:t xml:space="preserve">GraphQL introduit cependant des complexités spécifiques. La mise en cache est plus difficile car chaque requête est potentiellement unique. La sécurisation contre les requêtes abusives (trop profondes, trop larges) requiert des mécanismes dédiés. Le modèle mental diffère significativement de REST, nécessitant une montée en compétences des équipes. Le traitement côté serveur peut être plus coûteux en l'absence d'optimisations sophistiquées.</w:t>
      </w:r>
    </w:p>
    <w:p>
      <w:pPr>
        <w:spacing w:after="150"/>
      </w:pPr>
    </w:p>
    <w:p>
      <w:pPr>
        <w:spacing w:after="150"/>
      </w:pPr>
      <w:r>
        <w:rPr>
          <w:rFonts w:ascii="Arial" w:cs="Arial" w:eastAsia="Arial" w:hAnsi="Arial"/>
          <w:b/>
          <w:bCs/>
          <w:sz w:val="24"/>
          <w:szCs w:val="24"/>
        </w:rPr>
        <w:t xml:space="preserve">Synthèse comparative des protocoles API modernes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100"/>
        <w:gridCol w:w="2420"/>
        <w:gridCol w:w="2420"/>
        <w:gridCol w:w="2420"/>
      </w:tblGrid>
      <w:tr>
        <w:tc>
          <w:tcPr>
            <w:tcW w:type="dxa" w:w="2100"/>
            <w:tcBorders>
              <w:top w:val="single" w:color="CCCCCC" w:sz="1"/>
              <w:left w:val="single" w:color="CCCCCC" w:sz="1"/>
              <w:bottom w:val="single" w:color="CCCCCC" w:sz="1"/>
              <w:right w:val="single" w:color="CCCCCC" w:sz="1"/>
            </w:tcBorders>
            <w:shd w:fill="1E3A5F" w:val="clear"/>
            <w:tcMar>
              <w:top w:type="dxa" w:w="100"/>
              <w:left w:type="dxa" w:w="80"/>
              <w:bottom w:type="dxa" w:w="100"/>
              <w:right w:type="dxa" w:w="80"/>
            </w:tcMar>
          </w:tcPr>
          <w:p>
            <w:r>
              <w:rPr>
                <w:rFonts w:ascii="Arial" w:cs="Arial" w:eastAsia="Arial" w:hAnsi="Arial"/>
                <w:b/>
                <w:bCs/>
                <w:color w:val="FFFFFF"/>
                <w:sz w:val="18"/>
                <w:szCs w:val="18"/>
              </w:rPr>
              <w:t xml:space="preserve">Critère</w:t>
            </w:r>
          </w:p>
        </w:tc>
        <w:tc>
          <w:tcPr>
            <w:tcW w:type="dxa" w:w="2420"/>
            <w:tcBorders>
              <w:top w:val="single" w:color="CCCCCC" w:sz="1"/>
              <w:left w:val="single" w:color="CCCCCC" w:sz="1"/>
              <w:bottom w:val="single" w:color="CCCCCC" w:sz="1"/>
              <w:right w:val="single" w:color="CCCCCC" w:sz="1"/>
            </w:tcBorders>
            <w:shd w:fill="1E3A5F" w:val="clear"/>
            <w:tcMar>
              <w:top w:type="dxa" w:w="100"/>
              <w:left w:type="dxa" w:w="80"/>
              <w:bottom w:type="dxa" w:w="100"/>
              <w:right w:type="dxa" w:w="80"/>
            </w:tcMar>
          </w:tcPr>
          <w:p>
            <w:r>
              <w:rPr>
                <w:rFonts w:ascii="Arial" w:cs="Arial" w:eastAsia="Arial" w:hAnsi="Arial"/>
                <w:b/>
                <w:bCs/>
                <w:color w:val="FFFFFF"/>
                <w:sz w:val="18"/>
                <w:szCs w:val="18"/>
              </w:rPr>
              <w:t xml:space="preserve">REST</w:t>
            </w:r>
          </w:p>
        </w:tc>
        <w:tc>
          <w:tcPr>
            <w:tcW w:type="dxa" w:w="2420"/>
            <w:tcBorders>
              <w:top w:val="single" w:color="CCCCCC" w:sz="1"/>
              <w:left w:val="single" w:color="CCCCCC" w:sz="1"/>
              <w:bottom w:val="single" w:color="CCCCCC" w:sz="1"/>
              <w:right w:val="single" w:color="CCCCCC" w:sz="1"/>
            </w:tcBorders>
            <w:shd w:fill="1E3A5F" w:val="clear"/>
            <w:tcMar>
              <w:top w:type="dxa" w:w="100"/>
              <w:left w:type="dxa" w:w="80"/>
              <w:bottom w:type="dxa" w:w="100"/>
              <w:right w:type="dxa" w:w="80"/>
            </w:tcMar>
          </w:tcPr>
          <w:p>
            <w:r>
              <w:rPr>
                <w:rFonts w:ascii="Arial" w:cs="Arial" w:eastAsia="Arial" w:hAnsi="Arial"/>
                <w:b/>
                <w:bCs/>
                <w:color w:val="FFFFFF"/>
                <w:sz w:val="18"/>
                <w:szCs w:val="18"/>
              </w:rPr>
              <w:t xml:space="preserve">gRPC</w:t>
            </w:r>
          </w:p>
        </w:tc>
        <w:tc>
          <w:tcPr>
            <w:tcW w:type="dxa" w:w="2420"/>
            <w:tcBorders>
              <w:top w:val="single" w:color="CCCCCC" w:sz="1"/>
              <w:left w:val="single" w:color="CCCCCC" w:sz="1"/>
              <w:bottom w:val="single" w:color="CCCCCC" w:sz="1"/>
              <w:right w:val="single" w:color="CCCCCC" w:sz="1"/>
            </w:tcBorders>
            <w:shd w:fill="1E3A5F" w:val="clear"/>
            <w:tcMar>
              <w:top w:type="dxa" w:w="100"/>
              <w:left w:type="dxa" w:w="80"/>
              <w:bottom w:type="dxa" w:w="100"/>
              <w:right w:type="dxa" w:w="80"/>
            </w:tcMar>
          </w:tcPr>
          <w:p>
            <w:r>
              <w:rPr>
                <w:rFonts w:ascii="Arial" w:cs="Arial" w:eastAsia="Arial" w:hAnsi="Arial"/>
                <w:b/>
                <w:bCs/>
                <w:color w:val="FFFFFF"/>
                <w:sz w:val="18"/>
                <w:szCs w:val="18"/>
              </w:rPr>
              <w:t xml:space="preserve">GraphQL</w:t>
            </w:r>
          </w:p>
        </w:tc>
      </w:tr>
      <w:tr>
        <w:tc>
          <w:tcPr>
            <w:tcW w:type="dxa" w:w="2100"/>
            <w:tcBorders>
              <w:top w:val="single" w:color="CCCCCC" w:sz="1"/>
              <w:left w:val="single" w:color="CCCCCC" w:sz="1"/>
              <w:bottom w:val="single" w:color="CCCCCC" w:sz="1"/>
              <w:right w:val="single" w:color="CCCCCC" w:sz="1"/>
            </w:tcBorders>
            <w:shd w:fill="F5F5F5" w:val="clear"/>
            <w:tcMar>
              <w:top w:type="dxa" w:w="80"/>
              <w:left w:type="dxa" w:w="80"/>
              <w:bottom w:type="dxa" w:w="80"/>
              <w:right w:type="dxa" w:w="80"/>
            </w:tcMar>
          </w:tcPr>
          <w:p>
            <w:r>
              <w:rPr>
                <w:rFonts w:ascii="Arial" w:cs="Arial" w:eastAsia="Arial" w:hAnsi="Arial"/>
                <w:b/>
                <w:bCs/>
                <w:sz w:val="18"/>
                <w:szCs w:val="18"/>
              </w:rPr>
              <w:t xml:space="preserve">Format</w:t>
            </w:r>
          </w:p>
        </w:tc>
        <w:tc>
          <w:tcPr>
            <w:tcW w:type="dxa" w:w="2420"/>
            <w:tcBorders>
              <w:top w:val="single" w:color="CCCCCC" w:sz="1"/>
              <w:left w:val="single" w:color="CCCCCC" w:sz="1"/>
              <w:bottom w:val="single" w:color="CCCCCC" w:sz="1"/>
              <w:right w:val="single" w:color="CCCCCC" w:sz="1"/>
            </w:tcBorders>
            <w:shd w:fill="F5F5F5" w:val="clear"/>
            <w:tcMar>
              <w:top w:type="dxa" w:w="80"/>
              <w:left w:type="dxa" w:w="80"/>
              <w:bottom w:type="dxa" w:w="80"/>
              <w:right w:type="dxa" w:w="80"/>
            </w:tcMar>
          </w:tcPr>
          <w:p>
            <w:r>
              <w:rPr>
                <w:rFonts w:ascii="Arial" w:cs="Arial" w:eastAsia="Arial" w:hAnsi="Arial"/>
                <w:sz w:val="18"/>
                <w:szCs w:val="18"/>
              </w:rPr>
              <w:t xml:space="preserve">JSON (texte)</w:t>
            </w:r>
          </w:p>
        </w:tc>
        <w:tc>
          <w:tcPr>
            <w:tcW w:type="dxa" w:w="2420"/>
            <w:tcBorders>
              <w:top w:val="single" w:color="CCCCCC" w:sz="1"/>
              <w:left w:val="single" w:color="CCCCCC" w:sz="1"/>
              <w:bottom w:val="single" w:color="CCCCCC" w:sz="1"/>
              <w:right w:val="single" w:color="CCCCCC" w:sz="1"/>
            </w:tcBorders>
            <w:shd w:fill="F5F5F5" w:val="clear"/>
            <w:tcMar>
              <w:top w:type="dxa" w:w="80"/>
              <w:left w:type="dxa" w:w="80"/>
              <w:bottom w:type="dxa" w:w="80"/>
              <w:right w:type="dxa" w:w="80"/>
            </w:tcMar>
          </w:tcPr>
          <w:p>
            <w:r>
              <w:rPr>
                <w:rFonts w:ascii="Arial" w:cs="Arial" w:eastAsia="Arial" w:hAnsi="Arial"/>
                <w:sz w:val="18"/>
                <w:szCs w:val="18"/>
              </w:rPr>
              <w:t xml:space="preserve">Protocol Buffers (binaire)</w:t>
            </w:r>
          </w:p>
        </w:tc>
        <w:tc>
          <w:tcPr>
            <w:tcW w:type="dxa" w:w="2420"/>
            <w:tcBorders>
              <w:top w:val="single" w:color="CCCCCC" w:sz="1"/>
              <w:left w:val="single" w:color="CCCCCC" w:sz="1"/>
              <w:bottom w:val="single" w:color="CCCCCC" w:sz="1"/>
              <w:right w:val="single" w:color="CCCCCC" w:sz="1"/>
            </w:tcBorders>
            <w:shd w:fill="F5F5F5" w:val="clear"/>
            <w:tcMar>
              <w:top w:type="dxa" w:w="80"/>
              <w:left w:type="dxa" w:w="80"/>
              <w:bottom w:type="dxa" w:w="80"/>
              <w:right w:type="dxa" w:w="80"/>
            </w:tcMar>
          </w:tcPr>
          <w:p>
            <w:r>
              <w:rPr>
                <w:rFonts w:ascii="Arial" w:cs="Arial" w:eastAsia="Arial" w:hAnsi="Arial"/>
                <w:sz w:val="18"/>
                <w:szCs w:val="18"/>
              </w:rPr>
              <w:t xml:space="preserve">JSON (texte)</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rFonts w:ascii="Arial" w:cs="Arial" w:eastAsia="Arial" w:hAnsi="Arial"/>
                <w:b/>
                <w:bCs/>
                <w:sz w:val="18"/>
                <w:szCs w:val="18"/>
              </w:rPr>
              <w:t xml:space="preserve">Transport</w:t>
            </w:r>
          </w:p>
        </w:tc>
        <w:tc>
          <w:tcPr>
            <w:tcW w:type="dxa" w:w="242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rFonts w:ascii="Arial" w:cs="Arial" w:eastAsia="Arial" w:hAnsi="Arial"/>
                <w:sz w:val="18"/>
                <w:szCs w:val="18"/>
              </w:rPr>
              <w:t xml:space="preserve">HTTP/1.1 ou HTTP/2</w:t>
            </w:r>
          </w:p>
        </w:tc>
        <w:tc>
          <w:tcPr>
            <w:tcW w:type="dxa" w:w="242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rFonts w:ascii="Arial" w:cs="Arial" w:eastAsia="Arial" w:hAnsi="Arial"/>
                <w:sz w:val="18"/>
                <w:szCs w:val="18"/>
              </w:rPr>
              <w:t xml:space="preserve">HTTP/2</w:t>
            </w:r>
          </w:p>
        </w:tc>
        <w:tc>
          <w:tcPr>
            <w:tcW w:type="dxa" w:w="242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rFonts w:ascii="Arial" w:cs="Arial" w:eastAsia="Arial" w:hAnsi="Arial"/>
                <w:sz w:val="18"/>
                <w:szCs w:val="18"/>
              </w:rPr>
              <w:t xml:space="preserve">HTTP (souvent POST)</w:t>
            </w:r>
          </w:p>
        </w:tc>
      </w:tr>
      <w:tr>
        <w:tc>
          <w:tcPr>
            <w:tcW w:type="dxa" w:w="2100"/>
            <w:tcBorders>
              <w:top w:val="single" w:color="CCCCCC" w:sz="1"/>
              <w:left w:val="single" w:color="CCCCCC" w:sz="1"/>
              <w:bottom w:val="single" w:color="CCCCCC" w:sz="1"/>
              <w:right w:val="single" w:color="CCCCCC" w:sz="1"/>
            </w:tcBorders>
            <w:shd w:fill="F5F5F5" w:val="clear"/>
            <w:tcMar>
              <w:top w:type="dxa" w:w="80"/>
              <w:left w:type="dxa" w:w="80"/>
              <w:bottom w:type="dxa" w:w="80"/>
              <w:right w:type="dxa" w:w="80"/>
            </w:tcMar>
          </w:tcPr>
          <w:p>
            <w:r>
              <w:rPr>
                <w:rFonts w:ascii="Arial" w:cs="Arial" w:eastAsia="Arial" w:hAnsi="Arial"/>
                <w:b/>
                <w:bCs/>
                <w:sz w:val="18"/>
                <w:szCs w:val="18"/>
              </w:rPr>
              <w:t xml:space="preserve">Typage</w:t>
            </w:r>
          </w:p>
        </w:tc>
        <w:tc>
          <w:tcPr>
            <w:tcW w:type="dxa" w:w="2420"/>
            <w:tcBorders>
              <w:top w:val="single" w:color="CCCCCC" w:sz="1"/>
              <w:left w:val="single" w:color="CCCCCC" w:sz="1"/>
              <w:bottom w:val="single" w:color="CCCCCC" w:sz="1"/>
              <w:right w:val="single" w:color="CCCCCC" w:sz="1"/>
            </w:tcBorders>
            <w:shd w:fill="F5F5F5" w:val="clear"/>
            <w:tcMar>
              <w:top w:type="dxa" w:w="80"/>
              <w:left w:type="dxa" w:w="80"/>
              <w:bottom w:type="dxa" w:w="80"/>
              <w:right w:type="dxa" w:w="80"/>
            </w:tcMar>
          </w:tcPr>
          <w:p>
            <w:r>
              <w:rPr>
                <w:rFonts w:ascii="Arial" w:cs="Arial" w:eastAsia="Arial" w:hAnsi="Arial"/>
                <w:sz w:val="18"/>
                <w:szCs w:val="18"/>
              </w:rPr>
              <w:t xml:space="preserve">Optionnel (OpenAPI)</w:t>
            </w:r>
          </w:p>
        </w:tc>
        <w:tc>
          <w:tcPr>
            <w:tcW w:type="dxa" w:w="2420"/>
            <w:tcBorders>
              <w:top w:val="single" w:color="CCCCCC" w:sz="1"/>
              <w:left w:val="single" w:color="CCCCCC" w:sz="1"/>
              <w:bottom w:val="single" w:color="CCCCCC" w:sz="1"/>
              <w:right w:val="single" w:color="CCCCCC" w:sz="1"/>
            </w:tcBorders>
            <w:shd w:fill="F5F5F5" w:val="clear"/>
            <w:tcMar>
              <w:top w:type="dxa" w:w="80"/>
              <w:left w:type="dxa" w:w="80"/>
              <w:bottom w:type="dxa" w:w="80"/>
              <w:right w:type="dxa" w:w="80"/>
            </w:tcMar>
          </w:tcPr>
          <w:p>
            <w:r>
              <w:rPr>
                <w:rFonts w:ascii="Arial" w:cs="Arial" w:eastAsia="Arial" w:hAnsi="Arial"/>
                <w:sz w:val="18"/>
                <w:szCs w:val="18"/>
              </w:rPr>
              <w:t xml:space="preserve">Fort (fichiers .proto)</w:t>
            </w:r>
          </w:p>
        </w:tc>
        <w:tc>
          <w:tcPr>
            <w:tcW w:type="dxa" w:w="2420"/>
            <w:tcBorders>
              <w:top w:val="single" w:color="CCCCCC" w:sz="1"/>
              <w:left w:val="single" w:color="CCCCCC" w:sz="1"/>
              <w:bottom w:val="single" w:color="CCCCCC" w:sz="1"/>
              <w:right w:val="single" w:color="CCCCCC" w:sz="1"/>
            </w:tcBorders>
            <w:shd w:fill="F5F5F5" w:val="clear"/>
            <w:tcMar>
              <w:top w:type="dxa" w:w="80"/>
              <w:left w:type="dxa" w:w="80"/>
              <w:bottom w:type="dxa" w:w="80"/>
              <w:right w:type="dxa" w:w="80"/>
            </w:tcMar>
          </w:tcPr>
          <w:p>
            <w:r>
              <w:rPr>
                <w:rFonts w:ascii="Arial" w:cs="Arial" w:eastAsia="Arial" w:hAnsi="Arial"/>
                <w:sz w:val="18"/>
                <w:szCs w:val="18"/>
              </w:rPr>
              <w:t xml:space="preserve">Fort (schéma GraphQL)</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rFonts w:ascii="Arial" w:cs="Arial" w:eastAsia="Arial" w:hAnsi="Arial"/>
                <w:b/>
                <w:bCs/>
                <w:sz w:val="18"/>
                <w:szCs w:val="18"/>
              </w:rPr>
              <w:t xml:space="preserve">Performance</w:t>
            </w:r>
          </w:p>
        </w:tc>
        <w:tc>
          <w:tcPr>
            <w:tcW w:type="dxa" w:w="242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rFonts w:ascii="Arial" w:cs="Arial" w:eastAsia="Arial" w:hAnsi="Arial"/>
                <w:sz w:val="18"/>
                <w:szCs w:val="18"/>
              </w:rPr>
              <w:t xml:space="preserve">Moyenne</w:t>
            </w:r>
          </w:p>
        </w:tc>
        <w:tc>
          <w:tcPr>
            <w:tcW w:type="dxa" w:w="242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rFonts w:ascii="Arial" w:cs="Arial" w:eastAsia="Arial" w:hAnsi="Arial"/>
                <w:sz w:val="18"/>
                <w:szCs w:val="18"/>
              </w:rPr>
              <w:t xml:space="preserve">Excellente</w:t>
            </w:r>
          </w:p>
        </w:tc>
        <w:tc>
          <w:tcPr>
            <w:tcW w:type="dxa" w:w="242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rFonts w:ascii="Arial" w:cs="Arial" w:eastAsia="Arial" w:hAnsi="Arial"/>
                <w:sz w:val="18"/>
                <w:szCs w:val="18"/>
              </w:rPr>
              <w:t xml:space="preserve">Variable</w:t>
            </w:r>
          </w:p>
        </w:tc>
      </w:tr>
      <w:tr>
        <w:tc>
          <w:tcPr>
            <w:tcW w:type="dxa" w:w="2100"/>
            <w:tcBorders>
              <w:top w:val="single" w:color="CCCCCC" w:sz="1"/>
              <w:left w:val="single" w:color="CCCCCC" w:sz="1"/>
              <w:bottom w:val="single" w:color="CCCCCC" w:sz="1"/>
              <w:right w:val="single" w:color="CCCCCC" w:sz="1"/>
            </w:tcBorders>
            <w:shd w:fill="F5F5F5" w:val="clear"/>
            <w:tcMar>
              <w:top w:type="dxa" w:w="80"/>
              <w:left w:type="dxa" w:w="80"/>
              <w:bottom w:type="dxa" w:w="80"/>
              <w:right w:type="dxa" w:w="80"/>
            </w:tcMar>
          </w:tcPr>
          <w:p>
            <w:r>
              <w:rPr>
                <w:rFonts w:ascii="Arial" w:cs="Arial" w:eastAsia="Arial" w:hAnsi="Arial"/>
                <w:b/>
                <w:bCs/>
                <w:sz w:val="18"/>
                <w:szCs w:val="18"/>
              </w:rPr>
              <w:t xml:space="preserve">Flexibilité client</w:t>
            </w:r>
          </w:p>
        </w:tc>
        <w:tc>
          <w:tcPr>
            <w:tcW w:type="dxa" w:w="2420"/>
            <w:tcBorders>
              <w:top w:val="single" w:color="CCCCCC" w:sz="1"/>
              <w:left w:val="single" w:color="CCCCCC" w:sz="1"/>
              <w:bottom w:val="single" w:color="CCCCCC" w:sz="1"/>
              <w:right w:val="single" w:color="CCCCCC" w:sz="1"/>
            </w:tcBorders>
            <w:shd w:fill="F5F5F5" w:val="clear"/>
            <w:tcMar>
              <w:top w:type="dxa" w:w="80"/>
              <w:left w:type="dxa" w:w="80"/>
              <w:bottom w:type="dxa" w:w="80"/>
              <w:right w:type="dxa" w:w="80"/>
            </w:tcMar>
          </w:tcPr>
          <w:p>
            <w:r>
              <w:rPr>
                <w:rFonts w:ascii="Arial" w:cs="Arial" w:eastAsia="Arial" w:hAnsi="Arial"/>
                <w:sz w:val="18"/>
                <w:szCs w:val="18"/>
              </w:rPr>
              <w:t xml:space="preserve">Faible</w:t>
            </w:r>
          </w:p>
        </w:tc>
        <w:tc>
          <w:tcPr>
            <w:tcW w:type="dxa" w:w="2420"/>
            <w:tcBorders>
              <w:top w:val="single" w:color="CCCCCC" w:sz="1"/>
              <w:left w:val="single" w:color="CCCCCC" w:sz="1"/>
              <w:bottom w:val="single" w:color="CCCCCC" w:sz="1"/>
              <w:right w:val="single" w:color="CCCCCC" w:sz="1"/>
            </w:tcBorders>
            <w:shd w:fill="F5F5F5" w:val="clear"/>
            <w:tcMar>
              <w:top w:type="dxa" w:w="80"/>
              <w:left w:type="dxa" w:w="80"/>
              <w:bottom w:type="dxa" w:w="80"/>
              <w:right w:type="dxa" w:w="80"/>
            </w:tcMar>
          </w:tcPr>
          <w:p>
            <w:r>
              <w:rPr>
                <w:rFonts w:ascii="Arial" w:cs="Arial" w:eastAsia="Arial" w:hAnsi="Arial"/>
                <w:sz w:val="18"/>
                <w:szCs w:val="18"/>
              </w:rPr>
              <w:t xml:space="preserve">Faible</w:t>
            </w:r>
          </w:p>
        </w:tc>
        <w:tc>
          <w:tcPr>
            <w:tcW w:type="dxa" w:w="2420"/>
            <w:tcBorders>
              <w:top w:val="single" w:color="CCCCCC" w:sz="1"/>
              <w:left w:val="single" w:color="CCCCCC" w:sz="1"/>
              <w:bottom w:val="single" w:color="CCCCCC" w:sz="1"/>
              <w:right w:val="single" w:color="CCCCCC" w:sz="1"/>
            </w:tcBorders>
            <w:shd w:fill="F5F5F5" w:val="clear"/>
            <w:tcMar>
              <w:top w:type="dxa" w:w="80"/>
              <w:left w:type="dxa" w:w="80"/>
              <w:bottom w:type="dxa" w:w="80"/>
              <w:right w:type="dxa" w:w="80"/>
            </w:tcMar>
          </w:tcPr>
          <w:p>
            <w:r>
              <w:rPr>
                <w:rFonts w:ascii="Arial" w:cs="Arial" w:eastAsia="Arial" w:hAnsi="Arial"/>
                <w:sz w:val="18"/>
                <w:szCs w:val="18"/>
              </w:rPr>
              <w:t xml:space="preserve">Élevée</w:t>
            </w:r>
          </w:p>
        </w:tc>
      </w:tr>
      <w:tr>
        <w:tc>
          <w:tcPr>
            <w:tcW w:type="dxa" w:w="21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rFonts w:ascii="Arial" w:cs="Arial" w:eastAsia="Arial" w:hAnsi="Arial"/>
                <w:b/>
                <w:bCs/>
                <w:sz w:val="18"/>
                <w:szCs w:val="18"/>
              </w:rPr>
              <w:t xml:space="preserve">Mise en cache</w:t>
            </w:r>
          </w:p>
        </w:tc>
        <w:tc>
          <w:tcPr>
            <w:tcW w:type="dxa" w:w="242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rFonts w:ascii="Arial" w:cs="Arial" w:eastAsia="Arial" w:hAnsi="Arial"/>
                <w:sz w:val="18"/>
                <w:szCs w:val="18"/>
              </w:rPr>
              <w:t xml:space="preserve">Native HTTP</w:t>
            </w:r>
          </w:p>
        </w:tc>
        <w:tc>
          <w:tcPr>
            <w:tcW w:type="dxa" w:w="242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rFonts w:ascii="Arial" w:cs="Arial" w:eastAsia="Arial" w:hAnsi="Arial"/>
                <w:sz w:val="18"/>
                <w:szCs w:val="18"/>
              </w:rPr>
              <w:t xml:space="preserve">Complexe</w:t>
            </w:r>
          </w:p>
        </w:tc>
        <w:tc>
          <w:tcPr>
            <w:tcW w:type="dxa" w:w="242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r>
              <w:rPr>
                <w:rFonts w:ascii="Arial" w:cs="Arial" w:eastAsia="Arial" w:hAnsi="Arial"/>
                <w:sz w:val="18"/>
                <w:szCs w:val="18"/>
              </w:rPr>
              <w:t xml:space="preserve">Complexe</w:t>
            </w:r>
          </w:p>
        </w:tc>
      </w:tr>
      <w:tr>
        <w:tc>
          <w:tcPr>
            <w:tcW w:type="dxa" w:w="2100"/>
            <w:tcBorders>
              <w:top w:val="single" w:color="CCCCCC" w:sz="1"/>
              <w:left w:val="single" w:color="CCCCCC" w:sz="1"/>
              <w:bottom w:val="single" w:color="CCCCCC" w:sz="1"/>
              <w:right w:val="single" w:color="CCCCCC" w:sz="1"/>
            </w:tcBorders>
            <w:shd w:fill="F5F5F5" w:val="clear"/>
            <w:tcMar>
              <w:top w:type="dxa" w:w="80"/>
              <w:left w:type="dxa" w:w="80"/>
              <w:bottom w:type="dxa" w:w="80"/>
              <w:right w:type="dxa" w:w="80"/>
            </w:tcMar>
          </w:tcPr>
          <w:p>
            <w:r>
              <w:rPr>
                <w:rFonts w:ascii="Arial" w:cs="Arial" w:eastAsia="Arial" w:hAnsi="Arial"/>
                <w:b/>
                <w:bCs/>
                <w:sz w:val="18"/>
                <w:szCs w:val="18"/>
              </w:rPr>
              <w:t xml:space="preserve">Cas d'usage idéal</w:t>
            </w:r>
          </w:p>
        </w:tc>
        <w:tc>
          <w:tcPr>
            <w:tcW w:type="dxa" w:w="2420"/>
            <w:tcBorders>
              <w:top w:val="single" w:color="CCCCCC" w:sz="1"/>
              <w:left w:val="single" w:color="CCCCCC" w:sz="1"/>
              <w:bottom w:val="single" w:color="CCCCCC" w:sz="1"/>
              <w:right w:val="single" w:color="CCCCCC" w:sz="1"/>
            </w:tcBorders>
            <w:shd w:fill="F5F5F5" w:val="clear"/>
            <w:tcMar>
              <w:top w:type="dxa" w:w="80"/>
              <w:left w:type="dxa" w:w="80"/>
              <w:bottom w:type="dxa" w:w="80"/>
              <w:right w:type="dxa" w:w="80"/>
            </w:tcMar>
          </w:tcPr>
          <w:p>
            <w:r>
              <w:rPr>
                <w:rFonts w:ascii="Arial" w:cs="Arial" w:eastAsia="Arial" w:hAnsi="Arial"/>
                <w:sz w:val="18"/>
                <w:szCs w:val="18"/>
              </w:rPr>
              <w:t xml:space="preserve">API publiques, web</w:t>
            </w:r>
          </w:p>
        </w:tc>
        <w:tc>
          <w:tcPr>
            <w:tcW w:type="dxa" w:w="2420"/>
            <w:tcBorders>
              <w:top w:val="single" w:color="CCCCCC" w:sz="1"/>
              <w:left w:val="single" w:color="CCCCCC" w:sz="1"/>
              <w:bottom w:val="single" w:color="CCCCCC" w:sz="1"/>
              <w:right w:val="single" w:color="CCCCCC" w:sz="1"/>
            </w:tcBorders>
            <w:shd w:fill="F5F5F5" w:val="clear"/>
            <w:tcMar>
              <w:top w:type="dxa" w:w="80"/>
              <w:left w:type="dxa" w:w="80"/>
              <w:bottom w:type="dxa" w:w="80"/>
              <w:right w:type="dxa" w:w="80"/>
            </w:tcMar>
          </w:tcPr>
          <w:p>
            <w:r>
              <w:rPr>
                <w:rFonts w:ascii="Arial" w:cs="Arial" w:eastAsia="Arial" w:hAnsi="Arial"/>
                <w:sz w:val="18"/>
                <w:szCs w:val="18"/>
              </w:rPr>
              <w:t xml:space="preserve">Microservices internes</w:t>
            </w:r>
          </w:p>
        </w:tc>
        <w:tc>
          <w:tcPr>
            <w:tcW w:type="dxa" w:w="2420"/>
            <w:tcBorders>
              <w:top w:val="single" w:color="CCCCCC" w:sz="1"/>
              <w:left w:val="single" w:color="CCCCCC" w:sz="1"/>
              <w:bottom w:val="single" w:color="CCCCCC" w:sz="1"/>
              <w:right w:val="single" w:color="CCCCCC" w:sz="1"/>
            </w:tcBorders>
            <w:shd w:fill="F5F5F5" w:val="clear"/>
            <w:tcMar>
              <w:top w:type="dxa" w:w="80"/>
              <w:left w:type="dxa" w:w="80"/>
              <w:bottom w:type="dxa" w:w="80"/>
              <w:right w:type="dxa" w:w="80"/>
            </w:tcMar>
          </w:tcPr>
          <w:p>
            <w:r>
              <w:rPr>
                <w:rFonts w:ascii="Arial" w:cs="Arial" w:eastAsia="Arial" w:hAnsi="Arial"/>
                <w:sz w:val="18"/>
                <w:szCs w:val="18"/>
              </w:rPr>
              <w:t xml:space="preserve">Apps mobiles, BFF</w:t>
            </w:r>
          </w:p>
        </w:tc>
      </w:tr>
    </w:tbl>
    <w:p>
      <w:pPr>
        <w:spacing w:after="200"/>
      </w:pPr>
    </w:p>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B1FA2" w:sz="12"/>
              <w:bottom w:val="none" w:color="FFFFFF" w:sz="0"/>
              <w:right w:val="none" w:color="FFFFFF" w:sz="0"/>
            </w:tcBorders>
            <w:shd w:fill="F3E5F5" w:val="clear"/>
            <w:tcMar>
              <w:top w:type="dxa" w:w="150"/>
              <w:left w:type="dxa" w:w="200"/>
              <w:bottom w:type="dxa" w:w="150"/>
              <w:right w:type="dxa" w:w="200"/>
            </w:tcMar>
          </w:tcPr>
          <w:p>
            <w:pPr>
              <w:spacing w:after="100"/>
            </w:pPr>
            <w:r>
              <w:rPr>
                <w:rFonts w:ascii="Arial" w:cs="Arial" w:eastAsia="Arial" w:hAnsi="Arial"/>
                <w:b/>
                <w:bCs/>
                <w:color w:val="7B1FA2"/>
                <w:sz w:val="22"/>
                <w:szCs w:val="22"/>
              </w:rPr>
              <w:t xml:space="preserve">Exemple concret</w:t>
            </w:r>
          </w:p>
          <w:p>
            <w:pPr>
              <w:spacing w:after="80"/>
            </w:pPr>
            <w:r>
              <w:rPr>
                <w:rFonts w:ascii="Arial" w:cs="Arial" w:eastAsia="Arial" w:hAnsi="Arial"/>
                <w:i/>
                <w:iCs/>
                <w:sz w:val="22"/>
                <w:szCs w:val="22"/>
              </w:rPr>
              <w:t xml:space="preserve">Netflix utilise les trois protocoles selon les contextes. Les API publiques pour les partenaires (intégration sur téléviseurs, consoles) sont en REST pour maximiser la compatibilité. Les communications entre microservices internes passent par gRPC pour la performance. L'application mobile utilise une couche GraphQL (via leur framework Falcor, puis GraphQL) pour optimiser les requêtes selon les contraintes de chaque écran.</w:t>
            </w:r>
          </w:p>
        </w:tc>
      </w:tr>
    </w:tbl>
    <w:p>
      <w:pPr>
        <w:spacing w:after="200"/>
      </w:pPr>
    </w:p>
    <w:p>
      <w:r>
        <w:br w:type="page"/>
      </w:r>
    </w:p>
    <w:p>
      <w:pPr>
        <w:pStyle w:val="Heading2"/>
      </w:pPr>
      <w:r>
        <w:t xml:space="preserve">I.5.3 Le Paradigme « API-as-a-Product »</w:t>
      </w:r>
    </w:p>
    <w:p>
      <w:pPr>
        <w:spacing w:after="200" w:line="276"/>
        <w:jc w:val="both"/>
      </w:pPr>
      <w:r>
        <w:rPr>
          <w:rFonts w:ascii="Arial" w:cs="Arial" w:eastAsia="Arial" w:hAnsi="Arial"/>
          <w:sz w:val="24"/>
          <w:szCs w:val="24"/>
        </w:rPr>
        <w:t xml:space="preserve">La maturité de l'écosystème API a fait émerger une nouvelle conception : l'API comme produit à part entière, et non comme sous-produit technique d'un développement applicatif. Cette vision transforme profondément la façon dont les API sont conçues, développées, documentées et maintenues.</w:t>
      </w:r>
    </w:p>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65100" w:sz="12"/>
              <w:bottom w:val="none" w:color="FFFFFF" w:sz="0"/>
              <w:right w:val="none" w:color="FFFFFF" w:sz="0"/>
            </w:tcBorders>
            <w:shd w:fill="FFF3E0" w:val="clear"/>
            <w:tcMar>
              <w:top w:type="dxa" w:w="150"/>
              <w:left w:type="dxa" w:w="200"/>
              <w:bottom w:type="dxa" w:w="150"/>
              <w:right w:type="dxa" w:w="200"/>
            </w:tcMar>
          </w:tcPr>
          <w:p>
            <w:pPr>
              <w:spacing w:after="100"/>
            </w:pPr>
            <w:r>
              <w:rPr>
                <w:rFonts w:ascii="Arial" w:cs="Arial" w:eastAsia="Arial" w:hAnsi="Arial"/>
                <w:b/>
                <w:bCs/>
                <w:color w:val="E65100"/>
                <w:sz w:val="22"/>
                <w:szCs w:val="22"/>
              </w:rPr>
              <w:t xml:space="preserve">Définition formelle</w:t>
            </w:r>
          </w:p>
          <w:p>
            <w:pPr>
              <w:spacing w:after="80"/>
            </w:pPr>
            <w:r>
              <w:rPr>
                <w:rFonts w:ascii="Arial" w:cs="Arial" w:eastAsia="Arial" w:hAnsi="Arial"/>
                <w:i/>
                <w:iCs/>
                <w:sz w:val="22"/>
                <w:szCs w:val="22"/>
              </w:rPr>
              <w:t xml:space="preserve">API-as-a-Product : Approche de conception et de gestion des API qui les traite comme des produits destinés à des clients (développeurs internes ou externes), avec une attention particulière à l'expérience utilisateur, à la documentation, au support et à l'évolution planifiée.</w:t>
            </w:r>
          </w:p>
        </w:tc>
      </w:tr>
    </w:tbl>
    <w:p>
      <w:pPr>
        <w:spacing w:after="200"/>
      </w:pPr>
    </w:p>
    <w:p>
      <w:pPr>
        <w:spacing w:after="200" w:line="276"/>
        <w:jc w:val="both"/>
      </w:pPr>
      <w:r>
        <w:rPr>
          <w:rFonts w:ascii="Arial" w:cs="Arial" w:eastAsia="Arial" w:hAnsi="Arial"/>
          <w:sz w:val="24"/>
          <w:szCs w:val="24"/>
        </w:rPr>
        <w:t xml:space="preserve">Le paradigme API-as-a-Product s'articule autour de l'</w:t>
      </w:r>
      <w:r>
        <w:rPr>
          <w:rFonts w:ascii="Arial" w:cs="Arial" w:eastAsia="Arial" w:hAnsi="Arial"/>
          <w:b/>
          <w:bCs/>
          <w:sz w:val="24"/>
          <w:szCs w:val="24"/>
        </w:rPr>
        <w:t xml:space="preserve">expérience développeur (Developer Experience ou DX)</w:t>
      </w:r>
      <w:r>
        <w:rPr>
          <w:rFonts w:ascii="Arial" w:cs="Arial" w:eastAsia="Arial" w:hAnsi="Arial"/>
          <w:sz w:val="24"/>
          <w:szCs w:val="24"/>
        </w:rPr>
        <w:t xml:space="preserve">. Le développeur qui consomme l'API est un client dont la satisfaction détermine l'adoption. Une API techniquement correcte mais difficile à comprendre, mal documentée ou instable dans ses évolutions échouera face à des alternatives offrant une meilleure expérience.</w:t>
      </w:r>
    </w:p>
    <w:p>
      <w:pPr>
        <w:spacing w:after="200" w:line="276"/>
        <w:jc w:val="both"/>
      </w:pPr>
      <w:r>
        <w:rPr>
          <w:rFonts w:ascii="Arial" w:cs="Arial" w:eastAsia="Arial" w:hAnsi="Arial"/>
          <w:sz w:val="24"/>
          <w:szCs w:val="24"/>
        </w:rPr>
        <w:t xml:space="preserve">Les composantes de l'expérience développeur incluent plusieurs dimensions. La documentation doit être complète, à jour, riche en exemples et accessible via des portails développeurs attractifs. Les environnements de test (sandbox) permettent l'expérimentation sans risque. Les SDK (Software Development Kits) dans les langages populaires accélèrent l'intégration. Le support réactif — forums, chat, tickets — rassure les développeurs confrontés à des difficultés.</w:t>
      </w:r>
    </w:p>
    <w:p>
      <w:pPr>
        <w:spacing w:after="200" w:line="276"/>
        <w:jc w:val="both"/>
      </w:pPr>
      <w:r>
        <w:rPr>
          <w:rFonts w:ascii="Arial" w:cs="Arial" w:eastAsia="Arial" w:hAnsi="Arial"/>
          <w:sz w:val="24"/>
          <w:szCs w:val="24"/>
        </w:rPr>
        <w:t xml:space="preserve">La </w:t>
      </w:r>
      <w:r>
        <w:rPr>
          <w:rFonts w:ascii="Arial" w:cs="Arial" w:eastAsia="Arial" w:hAnsi="Arial"/>
          <w:b/>
          <w:bCs/>
          <w:sz w:val="24"/>
          <w:szCs w:val="24"/>
        </w:rPr>
        <w:t xml:space="preserve">conception orientée contrat (API-First ou Contract-First)</w:t>
      </w:r>
      <w:r>
        <w:rPr>
          <w:rFonts w:ascii="Arial" w:cs="Arial" w:eastAsia="Arial" w:hAnsi="Arial"/>
          <w:sz w:val="24"/>
          <w:szCs w:val="24"/>
        </w:rPr>
        <w:t xml:space="preserve"> est un corollaire naturel de l'approche produit. Le contrat d'API — spécifié en OpenAPI pour REST, en fichiers .proto pour gRPC, en SDL pour GraphQL — est défini avant l'implémentation. Ce contrat devient l'artefact central autour duquel s'organisent le développement, les tests, la documentation et la génération de code.</w:t>
      </w:r>
    </w:p>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D32" w:sz="12"/>
              <w:bottom w:val="none" w:color="FFFFFF" w:sz="0"/>
              <w:right w:val="none" w:color="FFFFFF" w:sz="0"/>
            </w:tcBorders>
            <w:shd w:fill="E8F5E9" w:val="clear"/>
            <w:tcMar>
              <w:top w:type="dxa" w:w="150"/>
              <w:left w:type="dxa" w:w="200"/>
              <w:bottom w:type="dxa" w:w="150"/>
              <w:right w:type="dxa" w:w="200"/>
            </w:tcMar>
          </w:tcPr>
          <w:p>
            <w:pPr>
              <w:spacing w:after="100"/>
            </w:pPr>
            <w:r>
              <w:rPr>
                <w:rFonts w:ascii="Arial" w:cs="Arial" w:eastAsia="Arial" w:hAnsi="Arial"/>
                <w:b/>
                <w:bCs/>
                <w:color w:val="2E7D32"/>
                <w:sz w:val="22"/>
                <w:szCs w:val="22"/>
              </w:rPr>
              <w:t xml:space="preserve">Perspective stratégique</w:t>
            </w:r>
          </w:p>
          <w:p>
            <w:pPr>
              <w:spacing w:after="80"/>
            </w:pPr>
            <w:r>
              <w:rPr>
                <w:rFonts w:ascii="Arial" w:cs="Arial" w:eastAsia="Arial" w:hAnsi="Arial"/>
                <w:i/>
                <w:iCs/>
                <w:sz w:val="22"/>
                <w:szCs w:val="22"/>
              </w:rPr>
              <w:t xml:space="preserve">L'approche API-First transforme la dynamique entre équipes. Le contrat d'API devient le point de synchronisation : l'équipe consommatrice peut commencer son développement sur la base du contrat, pendant que l'équipe productrice implémente. Les tests de contrat automatisés garantissent la conformité de l'implémentation. Cette parallélisation accélère significativement les cycles de développement.</w:t>
            </w:r>
          </w:p>
        </w:tc>
      </w:tr>
    </w:tbl>
    <w:p>
      <w:pPr>
        <w:spacing w:after="200"/>
      </w:pPr>
    </w:p>
    <w:p>
      <w:pPr>
        <w:spacing w:after="200" w:line="276"/>
        <w:jc w:val="both"/>
      </w:pPr>
      <w:r>
        <w:rPr>
          <w:rFonts w:ascii="Arial" w:cs="Arial" w:eastAsia="Arial" w:hAnsi="Arial"/>
          <w:sz w:val="24"/>
          <w:szCs w:val="24"/>
        </w:rPr>
        <w:t xml:space="preserve">La </w:t>
      </w:r>
      <w:r>
        <w:rPr>
          <w:rFonts w:ascii="Arial" w:cs="Arial" w:eastAsia="Arial" w:hAnsi="Arial"/>
          <w:b/>
          <w:bCs/>
          <w:sz w:val="24"/>
          <w:szCs w:val="24"/>
        </w:rPr>
        <w:t xml:space="preserve">gestion des versions</w:t>
      </w:r>
      <w:r>
        <w:rPr>
          <w:rFonts w:ascii="Arial" w:cs="Arial" w:eastAsia="Arial" w:hAnsi="Arial"/>
          <w:sz w:val="24"/>
          <w:szCs w:val="24"/>
        </w:rPr>
        <w:t xml:space="preserve"> est critique pour les API traitées comme produits. Les consommateurs dépendent de la stabilité de l'interface; toute modification non rétrocompatible peut briser leurs intégrations. Les stratégies de versionnement — via l'URL (/v1/, /v2/), via les en-têtes, via la négociation de contenu — doivent être définies et communiquées clairement. Les politiques de dépréciation (sunset) doivent donner aux consommateurs le temps de migrer.</w:t>
      </w:r>
    </w:p>
    <w:p>
      <w:pPr>
        <w:spacing w:after="200" w:line="276"/>
        <w:jc w:val="both"/>
      </w:pPr>
      <w:r>
        <w:rPr>
          <w:rFonts w:ascii="Arial" w:cs="Arial" w:eastAsia="Arial" w:hAnsi="Arial"/>
          <w:sz w:val="24"/>
          <w:szCs w:val="24"/>
        </w:rPr>
        <w:t xml:space="preserve">Les organisations matures adoptent des principes de compatibilité ascendante stricts : ajout de champs optionnels permis, suppression ou renommage de champs interdits sans nouvelle version majeure. Les tests de compatibilité automatisés détectent les ruptures involontaires avant la mise en production.</w:t>
      </w:r>
    </w:p>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B1FA2" w:sz="12"/>
              <w:bottom w:val="none" w:color="FFFFFF" w:sz="0"/>
              <w:right w:val="none" w:color="FFFFFF" w:sz="0"/>
            </w:tcBorders>
            <w:shd w:fill="F3E5F5" w:val="clear"/>
            <w:tcMar>
              <w:top w:type="dxa" w:w="150"/>
              <w:left w:type="dxa" w:w="200"/>
              <w:bottom w:type="dxa" w:w="150"/>
              <w:right w:type="dxa" w:w="200"/>
            </w:tcMar>
          </w:tcPr>
          <w:p>
            <w:pPr>
              <w:spacing w:after="100"/>
            </w:pPr>
            <w:r>
              <w:rPr>
                <w:rFonts w:ascii="Arial" w:cs="Arial" w:eastAsia="Arial" w:hAnsi="Arial"/>
                <w:b/>
                <w:bCs/>
                <w:color w:val="7B1FA2"/>
                <w:sz w:val="22"/>
                <w:szCs w:val="22"/>
              </w:rPr>
              <w:t xml:space="preserve">Exemple concret</w:t>
            </w:r>
          </w:p>
          <w:p>
            <w:pPr>
              <w:spacing w:after="80"/>
            </w:pPr>
            <w:r>
              <w:rPr>
                <w:rFonts w:ascii="Arial" w:cs="Arial" w:eastAsia="Arial" w:hAnsi="Arial"/>
                <w:i/>
                <w:iCs/>
                <w:sz w:val="22"/>
                <w:szCs w:val="22"/>
              </w:rPr>
              <w:t xml:space="preserve">Stripe incarne l'excellence en matière d'API-as-a-Product. Sa documentation interactive permet de tester les appels directement dans le navigateur. Les bibliothèques clientes officielles couvrent tous les langages majeurs. Le tableau de bord développeur offre une visibilité complète sur les appels et les erreurs. Le versionnement par date (2023-10-16) permet aux développeurs de figer leur version et de migrer à leur rythme. Cette qualité d'expérience explique largement la domination de Stripe malgré une concurrence intense.</w:t>
            </w:r>
          </w:p>
        </w:tc>
      </w:tr>
    </w:tbl>
    <w:p>
      <w:pPr>
        <w:spacing w:after="200"/>
      </w:pPr>
    </w:p>
    <w:p>
      <w:pPr>
        <w:pStyle w:val="Heading2"/>
      </w:pPr>
      <w:r>
        <w:t xml:space="preserve">I.5.4 Gouvernance et Gestion des API (API Management)</w:t>
      </w:r>
    </w:p>
    <w:p>
      <w:pPr>
        <w:spacing w:after="200" w:line="276"/>
        <w:jc w:val="both"/>
      </w:pPr>
      <w:r>
        <w:rPr>
          <w:rFonts w:ascii="Arial" w:cs="Arial" w:eastAsia="Arial" w:hAnsi="Arial"/>
          <w:sz w:val="24"/>
          <w:szCs w:val="24"/>
        </w:rPr>
        <w:t xml:space="preserve">L'échelle et la criticité croissantes des API exigent une gouvernance structurée et des plateformes de gestion dédiées. L'API Management englobe l'ensemble des pratiques, processus et outils qui assurent la qualité, la sécurité et l'évolutivité de l'écosystème API.</w:t>
      </w:r>
    </w:p>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65100" w:sz="12"/>
              <w:bottom w:val="none" w:color="FFFFFF" w:sz="0"/>
              <w:right w:val="none" w:color="FFFFFF" w:sz="0"/>
            </w:tcBorders>
            <w:shd w:fill="FFF3E0" w:val="clear"/>
            <w:tcMar>
              <w:top w:type="dxa" w:w="150"/>
              <w:left w:type="dxa" w:w="200"/>
              <w:bottom w:type="dxa" w:w="150"/>
              <w:right w:type="dxa" w:w="200"/>
            </w:tcMar>
          </w:tcPr>
          <w:p>
            <w:pPr>
              <w:spacing w:after="100"/>
            </w:pPr>
            <w:r>
              <w:rPr>
                <w:rFonts w:ascii="Arial" w:cs="Arial" w:eastAsia="Arial" w:hAnsi="Arial"/>
                <w:b/>
                <w:bCs/>
                <w:color w:val="E65100"/>
                <w:sz w:val="22"/>
                <w:szCs w:val="22"/>
              </w:rPr>
              <w:t xml:space="preserve">Définition formelle</w:t>
            </w:r>
          </w:p>
          <w:p>
            <w:pPr>
              <w:spacing w:after="80"/>
            </w:pPr>
            <w:r>
              <w:rPr>
                <w:rFonts w:ascii="Arial" w:cs="Arial" w:eastAsia="Arial" w:hAnsi="Arial"/>
                <w:i/>
                <w:iCs/>
                <w:sz w:val="22"/>
                <w:szCs w:val="22"/>
              </w:rPr>
              <w:t xml:space="preserve">API Management : Discipline englobant la conception, la publication, la documentation, la sécurisation, le monitoring et la monétisation des API. Une plateforme d'API Management fournit typiquement une passerelle (gateway), un portail développeurs, des outils d'analyse et des fonctionnalités de gouvernance.</w:t>
            </w:r>
          </w:p>
        </w:tc>
      </w:tr>
    </w:tbl>
    <w:p>
      <w:pPr>
        <w:spacing w:after="200"/>
      </w:pPr>
    </w:p>
    <w:p>
      <w:pPr>
        <w:spacing w:after="200" w:line="276"/>
        <w:jc w:val="both"/>
      </w:pPr>
      <w:r>
        <w:rPr>
          <w:rFonts w:ascii="Arial" w:cs="Arial" w:eastAsia="Arial" w:hAnsi="Arial"/>
          <w:sz w:val="24"/>
          <w:szCs w:val="24"/>
        </w:rPr>
        <w:t xml:space="preserve">La </w:t>
      </w:r>
      <w:r>
        <w:rPr>
          <w:rFonts w:ascii="Arial" w:cs="Arial" w:eastAsia="Arial" w:hAnsi="Arial"/>
          <w:b/>
          <w:bCs/>
          <w:sz w:val="24"/>
          <w:szCs w:val="24"/>
        </w:rPr>
        <w:t xml:space="preserve">passerelle API (API Gateway)</w:t>
      </w:r>
      <w:r>
        <w:rPr>
          <w:rFonts w:ascii="Arial" w:cs="Arial" w:eastAsia="Arial" w:hAnsi="Arial"/>
          <w:sz w:val="24"/>
          <w:szCs w:val="24"/>
        </w:rPr>
        <w:t xml:space="preserve"> constitue le point d'entrée centralisé pour toutes les requêtes API. Elle assure plusieurs fonctions critiques. L'authentification et l'autorisation vérifient l'identité des appelants et leurs droits d'accès. La limitation de débit (rate limiting) protège les services backend contre les surcharges. La transformation peut adapter les formats entre clients et serveurs. Le routage dirige les requêtes vers les implémentations appropriées selon des règles configurables.</w:t>
      </w:r>
    </w:p>
    <w:p>
      <w:pPr>
        <w:spacing w:after="200" w:line="276"/>
        <w:jc w:val="both"/>
      </w:pPr>
      <w:r>
        <w:rPr>
          <w:rFonts w:ascii="Arial" w:cs="Arial" w:eastAsia="Arial" w:hAnsi="Arial"/>
          <w:sz w:val="24"/>
          <w:szCs w:val="24"/>
        </w:rPr>
        <w:t xml:space="preserve">Les solutions d'API Gateway se déclinent en plusieurs catégories. Les passerelles commerciales (Apigee de Google, Azure API Management, AWS API Gateway) offrent des fonctionnalités complètes en mode géré. Les solutions open source (Kong, Tyk, KrakenD) permettent plus de contrôle et évitent l'enfermement propriétaire. Les passerelles légères spécialisées Kubernetes (Envoy, Istio, Traefik) s'intègrent nativement aux architectures de microservices.</w:t>
      </w:r>
    </w:p>
    <w:p>
      <w:pPr>
        <w:spacing w:after="200" w:line="276"/>
        <w:jc w:val="both"/>
      </w:pPr>
      <w:r>
        <w:rPr>
          <w:rFonts w:ascii="Arial" w:cs="Arial" w:eastAsia="Arial" w:hAnsi="Arial"/>
          <w:sz w:val="24"/>
          <w:szCs w:val="24"/>
        </w:rPr>
        <w:t xml:space="preserve">Le </w:t>
      </w:r>
      <w:r>
        <w:rPr>
          <w:rFonts w:ascii="Arial" w:cs="Arial" w:eastAsia="Arial" w:hAnsi="Arial"/>
          <w:b/>
          <w:bCs/>
          <w:sz w:val="24"/>
          <w:szCs w:val="24"/>
        </w:rPr>
        <w:t xml:space="preserve">portail développeurs</w:t>
      </w:r>
      <w:r>
        <w:rPr>
          <w:rFonts w:ascii="Arial" w:cs="Arial" w:eastAsia="Arial" w:hAnsi="Arial"/>
          <w:sz w:val="24"/>
          <w:szCs w:val="24"/>
        </w:rPr>
        <w:t xml:space="preserve"> est la vitrine de l'écosystème API. Il centralise la documentation, permet l'inscription et la gestion des clés d'API, offre des environnements de test interactifs, communique sur les évolutions et les incidents. Pour les API partenaires et publiques, le portail représente souvent le premier contact des développeurs avec l'organisation; son ergonomie et sa complétude influencent directement l'adoption.</w:t>
      </w:r>
    </w:p>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D32" w:sz="12"/>
              <w:bottom w:val="none" w:color="FFFFFF" w:sz="0"/>
              <w:right w:val="none" w:color="FFFFFF" w:sz="0"/>
            </w:tcBorders>
            <w:shd w:fill="E8F5E9" w:val="clear"/>
            <w:tcMar>
              <w:top w:type="dxa" w:w="150"/>
              <w:left w:type="dxa" w:w="200"/>
              <w:bottom w:type="dxa" w:w="150"/>
              <w:right w:type="dxa" w:w="200"/>
            </w:tcMar>
          </w:tcPr>
          <w:p>
            <w:pPr>
              <w:spacing w:after="100"/>
            </w:pPr>
            <w:r>
              <w:rPr>
                <w:rFonts w:ascii="Arial" w:cs="Arial" w:eastAsia="Arial" w:hAnsi="Arial"/>
                <w:b/>
                <w:bCs/>
                <w:color w:val="2E7D32"/>
                <w:sz w:val="22"/>
                <w:szCs w:val="22"/>
              </w:rPr>
              <w:t xml:space="preserve">Perspective stratégique</w:t>
            </w:r>
          </w:p>
          <w:p>
            <w:pPr>
              <w:spacing w:after="80"/>
            </w:pPr>
            <w:r>
              <w:rPr>
                <w:rFonts w:ascii="Arial" w:cs="Arial" w:eastAsia="Arial" w:hAnsi="Arial"/>
                <w:i/>
                <w:iCs/>
                <w:sz w:val="22"/>
                <w:szCs w:val="22"/>
              </w:rPr>
              <w:t xml:space="preserve">La gouvernance des API doit trouver un équilibre entre standardisation et autonomie. Une gouvernance trop stricte étouffe l'innovation et ralentit les équipes. Une absence de gouvernance conduit à l'incohérence et à la fragmentation. Les organisations matures adoptent une approche de « guardrails » : des règles non négociables (sécurité, conventions de nommage, versionnement) combinées à une liberté de conception dans ce cadre.</w:t>
            </w:r>
          </w:p>
        </w:tc>
      </w:tr>
    </w:tbl>
    <w:p>
      <w:pPr>
        <w:spacing w:after="200"/>
      </w:pPr>
    </w:p>
    <w:p>
      <w:pPr>
        <w:spacing w:after="200" w:line="276"/>
        <w:jc w:val="both"/>
      </w:pPr>
      <w:r>
        <w:rPr>
          <w:rFonts w:ascii="Arial" w:cs="Arial" w:eastAsia="Arial" w:hAnsi="Arial"/>
          <w:sz w:val="24"/>
          <w:szCs w:val="24"/>
        </w:rPr>
        <w:t xml:space="preserve">L'</w:t>
      </w:r>
      <w:r>
        <w:rPr>
          <w:rFonts w:ascii="Arial" w:cs="Arial" w:eastAsia="Arial" w:hAnsi="Arial"/>
          <w:b/>
          <w:bCs/>
          <w:sz w:val="24"/>
          <w:szCs w:val="24"/>
        </w:rPr>
        <w:t xml:space="preserve">observabilité des API</w:t>
      </w:r>
      <w:r>
        <w:rPr>
          <w:rFonts w:ascii="Arial" w:cs="Arial" w:eastAsia="Arial" w:hAnsi="Arial"/>
          <w:sz w:val="24"/>
          <w:szCs w:val="24"/>
        </w:rPr>
        <w:t xml:space="preserve"> va au-delà du simple monitoring. Elle englobe les métriques de performance (latence, débit, taux d'erreur), les traces distribuées permettant de suivre une requête à travers les services, et les journaux contextualisés facilitant le diagnostic. Les quatre signaux dorés (golden signals) — latence, trafic, erreurs, saturation — constituent le socle minimal de surveillance.</w:t>
      </w:r>
    </w:p>
    <w:p>
      <w:pPr>
        <w:spacing w:after="200" w:line="276"/>
        <w:jc w:val="both"/>
      </w:pPr>
      <w:r>
        <w:rPr>
          <w:rFonts w:ascii="Arial" w:cs="Arial" w:eastAsia="Arial" w:hAnsi="Arial"/>
          <w:sz w:val="24"/>
          <w:szCs w:val="24"/>
        </w:rPr>
        <w:t xml:space="preserve">L'analyse des usages révèle des insights précieux : quelles API sont les plus utilisées? Quels clients génèrent le plus de trafic? Quelles opérations échouent le plus souvent? Ces données alimentent les décisions d'évolution : prioriser l'optimisation des API critiques, déprécier les API peu utilisées, identifier les besoins non couverts.</w:t>
      </w:r>
    </w:p>
    <w:p>
      <w:pPr>
        <w:spacing w:after="200" w:line="276"/>
        <w:jc w:val="both"/>
      </w:pPr>
      <w:r>
        <w:rPr>
          <w:rFonts w:ascii="Arial" w:cs="Arial" w:eastAsia="Arial" w:hAnsi="Arial"/>
          <w:sz w:val="24"/>
          <w:szCs w:val="24"/>
        </w:rPr>
        <w:t xml:space="preserve">La </w:t>
      </w:r>
      <w:r>
        <w:rPr>
          <w:rFonts w:ascii="Arial" w:cs="Arial" w:eastAsia="Arial" w:hAnsi="Arial"/>
          <w:b/>
          <w:bCs/>
          <w:sz w:val="24"/>
          <w:szCs w:val="24"/>
        </w:rPr>
        <w:t xml:space="preserve">sécurisation des API</w:t>
      </w:r>
      <w:r>
        <w:rPr>
          <w:rFonts w:ascii="Arial" w:cs="Arial" w:eastAsia="Arial" w:hAnsi="Arial"/>
          <w:sz w:val="24"/>
          <w:szCs w:val="24"/>
        </w:rPr>
        <w:t xml:space="preserve"> est une préoccupation constante. Les API exposent la surface d'attaque de l'organisation; leur compromission peut avoir des conséquences graves. Les bonnes pratiques incluent l'authentification forte (OAuth 2.0, JWT), le chiffrement systématique (TLS), la validation stricte des entrées, la protection contre les attaques classiques (injection, CSRF, DoS). Le Top 10 OWASP API Security fournit un référentiel des vulnérabilités les plus courantes.</w:t>
      </w:r>
    </w:p>
    <w:p>
      <w:pPr>
        <w:spacing w:after="15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B1FA2" w:sz="12"/>
              <w:bottom w:val="none" w:color="FFFFFF" w:sz="0"/>
              <w:right w:val="none" w:color="FFFFFF" w:sz="0"/>
            </w:tcBorders>
            <w:shd w:fill="F3E5F5" w:val="clear"/>
            <w:tcMar>
              <w:top w:type="dxa" w:w="150"/>
              <w:left w:type="dxa" w:w="200"/>
              <w:bottom w:type="dxa" w:w="150"/>
              <w:right w:type="dxa" w:w="200"/>
            </w:tcMar>
          </w:tcPr>
          <w:p>
            <w:pPr>
              <w:spacing w:after="100"/>
            </w:pPr>
            <w:r>
              <w:rPr>
                <w:rFonts w:ascii="Arial" w:cs="Arial" w:eastAsia="Arial" w:hAnsi="Arial"/>
                <w:b/>
                <w:bCs/>
                <w:color w:val="7B1FA2"/>
                <w:sz w:val="22"/>
                <w:szCs w:val="22"/>
              </w:rPr>
              <w:t xml:space="preserve">Exemple concret</w:t>
            </w:r>
          </w:p>
          <w:p>
            <w:pPr>
              <w:spacing w:after="80"/>
            </w:pPr>
            <w:r>
              <w:rPr>
                <w:rFonts w:ascii="Arial" w:cs="Arial" w:eastAsia="Arial" w:hAnsi="Arial"/>
                <w:i/>
                <w:iCs/>
                <w:sz w:val="22"/>
                <w:szCs w:val="22"/>
              </w:rPr>
              <w:t xml:space="preserve">Une grande banque canadienne a centralisé la gestion de ses 800+ API internes via Kong Enterprise. La passerelle applique uniformément les politiques de sécurité (authentification mTLS, quotas par application). Le portail développeurs interne a réduit de 60 % le temps d'intégration des nouvelles applications. Les tableaux de bord temps réel permettent de détecter les anomalies en moins de deux minutes. Cette infrastructure a été le prérequis à l'ouverture des API vers les partenaires fintech dans le cadre de l'open banking.</w:t>
            </w:r>
          </w:p>
        </w:tc>
      </w:tr>
    </w:tbl>
    <w:p>
      <w:pPr>
        <w:spacing w:after="200"/>
      </w:pPr>
    </w:p>
    <w:p>
      <w:r>
        <w:br w:type="page"/>
      </w:r>
    </w:p>
    <w:p>
      <w:pPr>
        <w:pStyle w:val="Heading2"/>
      </w:pPr>
      <w:r>
        <w:t xml:space="preserve">I.5.5 Conclusion : Maîtriser les Interactions Synchrones</w:t>
      </w:r>
    </w:p>
    <w:p>
      <w:pPr>
        <w:spacing w:after="200" w:line="276"/>
        <w:jc w:val="both"/>
      </w:pPr>
      <w:r>
        <w:rPr>
          <w:rFonts w:ascii="Arial" w:cs="Arial" w:eastAsia="Arial" w:hAnsi="Arial"/>
          <w:sz w:val="24"/>
          <w:szCs w:val="24"/>
        </w:rPr>
        <w:t xml:space="preserve">Ce chapitre a exploré l'écosystème API sous ses dimensions stratégique, technique et opérationnelle. Les API ne sont plus de simples artefacts d'intégration; elles sont les interfaces par lesquelles l'entreprise expose ses capacités, collabore avec ses partenaires et s'intègre dans les écosystèmes numériques.</w:t>
      </w:r>
    </w:p>
    <w:p>
      <w:pPr>
        <w:spacing w:after="200" w:line="276"/>
        <w:jc w:val="both"/>
      </w:pPr>
      <w:r>
        <w:rPr>
          <w:rFonts w:ascii="Arial" w:cs="Arial" w:eastAsia="Arial" w:hAnsi="Arial"/>
          <w:sz w:val="24"/>
          <w:szCs w:val="24"/>
        </w:rPr>
        <w:t xml:space="preserve">Le choix des protocoles — REST pour l'universalité, gRPC pour la performance interne, GraphQL pour la flexibilité client — doit être guidé par les besoins spécifiques de chaque contexte plutôt que par des dogmes. Les organisations matures combinent ces protocoles dans une architecture cohérente, chacun à sa place optimale.</w:t>
      </w:r>
    </w:p>
    <w:p>
      <w:pPr>
        <w:spacing w:after="200" w:line="276"/>
        <w:jc w:val="both"/>
      </w:pPr>
      <w:r>
        <w:rPr>
          <w:rFonts w:ascii="Arial" w:cs="Arial" w:eastAsia="Arial" w:hAnsi="Arial"/>
          <w:sz w:val="24"/>
          <w:szCs w:val="24"/>
        </w:rPr>
        <w:t xml:space="preserve">L'approche API-as-a-Product transforme la relation entre producteurs et consommateurs d'API. L'expérience développeur devient une priorité, la conception orientée contrat structure les interactions entre équipes, la gestion des versions garantit la stabilité. Ces pratiques sont les conditions d'un écosystème API vivant et évolutif.</w:t>
      </w:r>
    </w:p>
    <w:p>
      <w:pPr>
        <w:spacing w:after="200" w:line="276"/>
        <w:jc w:val="both"/>
      </w:pPr>
      <w:r>
        <w:rPr>
          <w:rFonts w:ascii="Arial" w:cs="Arial" w:eastAsia="Arial" w:hAnsi="Arial"/>
          <w:sz w:val="24"/>
          <w:szCs w:val="24"/>
        </w:rPr>
        <w:t xml:space="preserve">La gouvernance et l'API Management fournissent le cadre opérationnel : passerelles pour la sécurité et le contrôle, portails pour l'adoption, observabilité pour la maîtrise, sécurisation pour la confiance. Ces infrastructures, lorsqu'elles sont bien conçues, libèrent les équipes plutôt qu'elles ne les contraignent.</w:t>
      </w:r>
    </w:p>
    <w:p>
      <w:pPr>
        <w:spacing w:after="200" w:line="276"/>
        <w:jc w:val="both"/>
      </w:pPr>
      <w:r>
        <w:rPr>
          <w:rFonts w:ascii="Arial" w:cs="Arial" w:eastAsia="Arial" w:hAnsi="Arial"/>
          <w:sz w:val="24"/>
          <w:szCs w:val="24"/>
        </w:rPr>
        <w:t xml:space="preserve">Pour l'entreprise agentique, les API constituent les </w:t>
      </w:r>
      <w:r>
        <w:rPr>
          <w:rFonts w:ascii="Arial" w:cs="Arial" w:eastAsia="Arial" w:hAnsi="Arial"/>
          <w:b/>
          <w:bCs/>
          <w:sz w:val="24"/>
          <w:szCs w:val="24"/>
        </w:rPr>
        <w:t xml:space="preserve">points d'ancrage des agents dans le monde réel</w:t>
      </w:r>
      <w:r>
        <w:rPr>
          <w:rFonts w:ascii="Arial" w:cs="Arial" w:eastAsia="Arial" w:hAnsi="Arial"/>
          <w:sz w:val="24"/>
          <w:szCs w:val="24"/>
        </w:rPr>
        <w:t xml:space="preserve">. Un agent cognitif qui ne peut pas invoquer d'API est un cerveau sans corps, capable de réflexion mais pas d'action. La richesse, la fiabilité et la cohérence de l'écosystème API déterminent le potentiel d'agentification. Les protocoles émergents comme </w:t>
      </w:r>
      <w:r>
        <w:rPr>
          <w:rFonts w:ascii="Arial" w:cs="Arial" w:eastAsia="Arial" w:hAnsi="Arial"/>
          <w:b/>
          <w:bCs/>
          <w:sz w:val="24"/>
          <w:szCs w:val="24"/>
        </w:rPr>
        <w:t xml:space="preserve">MCP (Model Context Protocol)</w:t>
      </w:r>
      <w:r>
        <w:rPr>
          <w:rFonts w:ascii="Arial" w:cs="Arial" w:eastAsia="Arial" w:hAnsi="Arial"/>
          <w:sz w:val="24"/>
          <w:szCs w:val="24"/>
        </w:rPr>
        <w:t xml:space="preserve">, que nous explorerons au Chapitre I.15, étendent cette logique en standardisant l'accès des agents aux outils et aux données.</w:t>
      </w:r>
    </w:p>
    <w:p>
      <w:pPr>
        <w:spacing w:after="200" w:line="276"/>
        <w:jc w:val="both"/>
      </w:pPr>
      <w:r>
        <w:rPr>
          <w:rFonts w:ascii="Arial" w:cs="Arial" w:eastAsia="Arial" w:hAnsi="Arial"/>
          <w:sz w:val="24"/>
          <w:szCs w:val="24"/>
        </w:rPr>
        <w:t xml:space="preserve">Le chapitre suivant complétera ce panorama en abordant l'autre volet de la symbiose : l'architecture orientée événements (EDA) et le maillage d'événements qui constituent le backbone asynchrone du système nerveux numérique.</w:t>
      </w:r>
    </w:p>
    <w:p>
      <w:pPr>
        <w:pStyle w:val="Heading2"/>
      </w:pPr>
      <w:r>
        <w:t xml:space="preserve">I.5.6 Résumé</w:t>
      </w:r>
    </w:p>
    <w:p>
      <w:pPr>
        <w:spacing w:after="200" w:line="276"/>
        <w:jc w:val="both"/>
      </w:pPr>
      <w:r>
        <w:rPr>
          <w:rFonts w:ascii="Arial" w:cs="Arial" w:eastAsia="Arial" w:hAnsi="Arial"/>
          <w:sz w:val="24"/>
          <w:szCs w:val="24"/>
        </w:rPr>
        <w:t xml:space="preserve">Ce chapitre a exploré l'écosystème API comme composante essentielle du système nerveux numérique :</w:t>
      </w:r>
    </w:p>
    <w:p>
      <w:pPr>
        <w:spacing w:after="200" w:line="276"/>
        <w:jc w:val="both"/>
      </w:pPr>
      <w:r>
        <w:rPr>
          <w:rFonts w:ascii="Arial" w:cs="Arial" w:eastAsia="Arial" w:hAnsi="Arial"/>
          <w:b/>
          <w:bCs/>
          <w:sz w:val="24"/>
          <w:szCs w:val="24"/>
        </w:rPr>
        <w:t xml:space="preserve">L'API comme interface stratégique </w:t>
      </w:r>
      <w:r>
        <w:rPr>
          <w:rFonts w:ascii="Arial" w:cs="Arial" w:eastAsia="Arial" w:hAnsi="Arial"/>
          <w:sz w:val="24"/>
          <w:szCs w:val="24"/>
        </w:rPr>
        <w:t xml:space="preserve">transforme la façon dont l'entreprise expose ses capacités. La typologie (privée, partenaire, publique) reflète le positionnement stratégique. L'API Mandate d'Amazon illustre comment cette discipline peut transformer une organisation. Pour l'entreprise agentique, les API sont les points d'ancrage des agents dans le monde réel.</w:t>
      </w:r>
    </w:p>
    <w:p>
      <w:pPr>
        <w:spacing w:after="200" w:line="276"/>
        <w:jc w:val="both"/>
      </w:pPr>
      <w:r>
        <w:rPr>
          <w:rFonts w:ascii="Arial" w:cs="Arial" w:eastAsia="Arial" w:hAnsi="Arial"/>
          <w:b/>
          <w:bCs/>
          <w:sz w:val="24"/>
          <w:szCs w:val="24"/>
        </w:rPr>
        <w:t xml:space="preserve">Les protocoles modernes </w:t>
      </w:r>
      <w:r>
        <w:rPr>
          <w:rFonts w:ascii="Arial" w:cs="Arial" w:eastAsia="Arial" w:hAnsi="Arial"/>
          <w:sz w:val="24"/>
          <w:szCs w:val="24"/>
        </w:rPr>
        <w:t xml:space="preserve">offrent des compromis différents. REST excelle en universalité et compatibilité pour les API publiques. gRPC optimise la performance pour les communications inter-services. GraphQL offre la flexibilité client pour les applications mobiles et les BFF (Backend for Frontend). Les organisations matures combinent ces protocoles selon les contextes.</w:t>
      </w:r>
    </w:p>
    <w:p>
      <w:pPr>
        <w:spacing w:after="200" w:line="276"/>
        <w:jc w:val="both"/>
      </w:pPr>
      <w:r>
        <w:rPr>
          <w:rFonts w:ascii="Arial" w:cs="Arial" w:eastAsia="Arial" w:hAnsi="Arial"/>
          <w:b/>
          <w:bCs/>
          <w:sz w:val="24"/>
          <w:szCs w:val="24"/>
        </w:rPr>
        <w:t xml:space="preserve">Le paradigme API-as-a-Product </w:t>
      </w:r>
      <w:r>
        <w:rPr>
          <w:rFonts w:ascii="Arial" w:cs="Arial" w:eastAsia="Arial" w:hAnsi="Arial"/>
          <w:sz w:val="24"/>
          <w:szCs w:val="24"/>
        </w:rPr>
        <w:t xml:space="preserve">place l'expérience développeur au centre. La conception orientée contrat (API-First), la documentation soignée, les SDK et le support constituent les piliers de l'adoption. La gestion des versions et les politiques de compatibilité garantissent la stabilité pour les consommateurs.</w:t>
      </w:r>
    </w:p>
    <w:p>
      <w:pPr>
        <w:spacing w:after="200" w:line="276"/>
        <w:jc w:val="both"/>
      </w:pPr>
      <w:r>
        <w:rPr>
          <w:rFonts w:ascii="Arial" w:cs="Arial" w:eastAsia="Arial" w:hAnsi="Arial"/>
          <w:b/>
          <w:bCs/>
          <w:sz w:val="24"/>
          <w:szCs w:val="24"/>
        </w:rPr>
        <w:t xml:space="preserve">L'API Management </w:t>
      </w:r>
      <w:r>
        <w:rPr>
          <w:rFonts w:ascii="Arial" w:cs="Arial" w:eastAsia="Arial" w:hAnsi="Arial"/>
          <w:sz w:val="24"/>
          <w:szCs w:val="24"/>
        </w:rPr>
        <w:t xml:space="preserve">fournit le cadre opérationnel. Les passerelles assurent sécurité et contrôle. Les portails développeurs favorisent l'adoption. L'observabilité permet la maîtrise. La sécurisation protège contre les menaces. Ces infrastructures sont les prérequis de l'échelle.</w:t>
      </w:r>
    </w:p>
    <w:p>
      <w:pPr>
        <w:spacing w:after="300"/>
      </w:pPr>
    </w:p>
    <w:p>
      <w:pPr>
        <w:spacing w:after="200"/>
      </w:pPr>
      <w:r>
        <w:rPr>
          <w:rFonts w:ascii="Arial" w:cs="Arial" w:eastAsia="Arial" w:hAnsi="Arial"/>
          <w:b/>
          <w:bCs/>
          <w:sz w:val="24"/>
          <w:szCs w:val="24"/>
        </w:rPr>
        <w:t xml:space="preserve">Tableau de synthèse : Les dimensions de l'écosystème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3860"/>
      </w:tblGrid>
      <w:tr>
        <w:tc>
          <w:tcPr>
            <w:tcW w:type="dxa" w:w="23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tcPr>
          <w:p>
            <w:r>
              <w:rPr>
                <w:rFonts w:ascii="Arial" w:cs="Arial" w:eastAsia="Arial" w:hAnsi="Arial"/>
                <w:b/>
                <w:bCs/>
                <w:color w:val="FFFFFF"/>
                <w:sz w:val="20"/>
                <w:szCs w:val="20"/>
              </w:rPr>
              <w:t xml:space="preserve">Dimension</w:t>
            </w:r>
          </w:p>
        </w:tc>
        <w:tc>
          <w:tcPr>
            <w:tcW w:type="dxa" w:w="320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tcPr>
          <w:p>
            <w:r>
              <w:rPr>
                <w:rFonts w:ascii="Arial" w:cs="Arial" w:eastAsia="Arial" w:hAnsi="Arial"/>
                <w:b/>
                <w:bCs/>
                <w:color w:val="FFFFFF"/>
                <w:sz w:val="20"/>
                <w:szCs w:val="20"/>
              </w:rPr>
              <w:t xml:space="preserve">Enjeu principal</w:t>
            </w:r>
          </w:p>
        </w:tc>
        <w:tc>
          <w:tcPr>
            <w:tcW w:type="dxa" w:w="3860"/>
            <w:tcBorders>
              <w:top w:val="single" w:color="CCCCCC" w:sz="1"/>
              <w:left w:val="single" w:color="CCCCCC" w:sz="1"/>
              <w:bottom w:val="single" w:color="CCCCCC" w:sz="1"/>
              <w:right w:val="single" w:color="CCCCCC" w:sz="1"/>
            </w:tcBorders>
            <w:shd w:fill="1E3A5F" w:val="clear"/>
            <w:tcMar>
              <w:top w:type="dxa" w:w="100"/>
              <w:left w:type="dxa" w:w="120"/>
              <w:bottom w:type="dxa" w:w="100"/>
              <w:right w:type="dxa" w:w="120"/>
            </w:tcMar>
          </w:tcPr>
          <w:p>
            <w:r>
              <w:rPr>
                <w:rFonts w:ascii="Arial" w:cs="Arial" w:eastAsia="Arial" w:hAnsi="Arial"/>
                <w:b/>
                <w:bCs/>
                <w:color w:val="FFFFFF"/>
                <w:sz w:val="20"/>
                <w:szCs w:val="20"/>
              </w:rPr>
              <w:t xml:space="preserve">Pratiques clés</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Stratégique</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Positionnement et valeur métier</w:t>
            </w:r>
          </w:p>
        </w:tc>
        <w:tc>
          <w:tcPr>
            <w:tcW w:type="dxa" w:w="3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Typologie, écosystème, monétisation</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Protocole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et interopérabilité</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REST, gRPC, GraphQL selon contexte</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Produit</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Adoption et satisfaction développeur</w:t>
            </w:r>
          </w:p>
        </w:tc>
        <w:tc>
          <w:tcPr>
            <w:tcW w:type="dxa" w:w="3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API-First, documentation, SDK, support</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Gouvernance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Cohérence et qualité à l'échelle</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Standards, revues, automatisation</w:t>
            </w:r>
          </w:p>
        </w:tc>
      </w:tr>
      <w:tr>
        <w:tc>
          <w:tcPr>
            <w:tcW w:type="dxa" w:w="2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Opérationnel</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Sécurité et disponibilité</w:t>
            </w:r>
          </w:p>
        </w:tc>
        <w:tc>
          <w:tcPr>
            <w:tcW w:type="dxa" w:w="3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Gateway, monitoring, sécurisation</w:t>
            </w:r>
          </w:p>
        </w:tc>
      </w:tr>
    </w:tbl>
    <w:p>
      <w:pPr>
        <w:spacing w:after="400"/>
      </w:pPr>
    </w:p>
    <w:p>
      <w:pPr>
        <w:jc w:val="center"/>
      </w:pPr>
      <w:r>
        <w:rPr>
          <w:color w:val="4A90D9"/>
          <w:sz w:val="24"/>
          <w:szCs w:val="24"/>
        </w:rPr>
        <w:t xml:space="preserve">───────────────────────────────</w:t>
      </w:r>
    </w:p>
    <w:p>
      <w:pPr>
        <w:spacing w:before="200"/>
        <w:jc w:val="center"/>
      </w:pPr>
      <w:r>
        <w:rPr>
          <w:rFonts w:ascii="Arial" w:cs="Arial" w:eastAsia="Arial" w:hAnsi="Arial"/>
          <w:i/>
          <w:iCs/>
          <w:color w:val="2E5B8A"/>
          <w:sz w:val="22"/>
          <w:szCs w:val="22"/>
        </w:rPr>
        <w:t xml:space="preserve">Le Chapitre I.6 qui suit aborde l'Architecture Orientée Événements (EDA) et le Maillage d'Événements : le backbone asynchrone du système nerveux numérique, complémentaire des API synchrones.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2E5B8A"/>
        <w:sz w:val="18"/>
        <w:szCs w:val="18"/>
      </w:rPr>
      <w:t xml:space="preserve">Volume I : Fondations de l'Entreprise Agentique —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2E5B8A"/>
        <w:sz w:val="20"/>
        <w:szCs w:val="20"/>
      </w:rPr>
      <w:t xml:space="preserve">Chapitre I.5 — Écosystème API : Protocoles Modernes et Stratégie Produit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E3A5F"/>
      <w:sz w:val="36"/>
      <w:szCs w:val="36"/>
    </w:rPr>
  </w:style>
  <w:style w:type="paragraph" w:styleId="Heading2">
    <w:name w:val="Heading 2"/>
    <w:basedOn w:val="Normal"/>
    <w:next w:val="Normal"/>
    <w:qFormat/>
    <w:pPr>
      <w:spacing w:before="300" w:after="150"/>
      <w:outlineLvl w:val="1"/>
    </w:pPr>
    <w:rPr>
      <w:rFonts w:ascii="Arial" w:cs="Arial" w:eastAsia="Arial" w:hAnsi="Arial"/>
      <w:b/>
      <w:bCs/>
      <w:color w:val="2E5B8A"/>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2026-01-11T11:58:19.495Z</dcterms:created>
  <dcterms:modified xsi:type="dcterms:W3CDTF">2026-01-11T11:58:19.496Z</dcterms:modified>
</cp:coreProperties>
</file>

<file path=docProps/custom.xml><?xml version="1.0" encoding="utf-8"?>
<Properties xmlns="http://schemas.openxmlformats.org/officeDocument/2006/custom-properties" xmlns:vt="http://schemas.openxmlformats.org/officeDocument/2006/docPropsVTypes"/>
</file>