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666666"/>
          <w:sz w:val="28"/>
          <w:szCs w:val="28"/>
        </w:rPr>
        <w:t xml:space="preserve">CHAPITRE I.7</w:t>
      </w:r>
    </w:p>
    <w:p>
      <w:pPr>
        <w:pStyle w:val="Heading1"/>
        <w:spacing w:after="400"/>
        <w:jc w:val="center"/>
      </w:pPr>
      <w:r>
        <w:rPr>
          <w:rFonts w:ascii="Arial" w:cs="Arial" w:eastAsia="Arial" w:hAnsi="Arial"/>
          <w:b/>
          <w:bCs/>
          <w:sz w:val="36"/>
          <w:szCs w:val="36"/>
        </w:rPr>
        <w:t xml:space="preserve">Contrats de Données : Pilier de la Fiabilité et du Data Mesh</w:t>
      </w:r>
    </w:p>
    <w:p>
      <w:pPr>
        <w:spacing w:before="200" w:after="400"/>
        <w:ind w:left="2880"/>
        <w:jc w:val="right"/>
      </w:pPr>
      <w:r>
        <w:rPr>
          <w:rFonts w:ascii="Georgia" w:cs="Georgia" w:eastAsia="Georgia" w:hAnsi="Georgia"/>
          <w:i/>
          <w:iCs/>
          <w:sz w:val="22"/>
          <w:szCs w:val="22"/>
        </w:rPr>
        <w:t xml:space="preserve">« Les données sont un actif, mais sans contrat, elles deviennent un passif. »
— Zhamak Dehghani, Créatrice du Data Mesh</w:t>
      </w:r>
    </w:p>
    <w:p>
      <w:pPr>
        <w:spacing w:after="200" w:line="276"/>
        <w:jc w:val="both"/>
      </w:pPr>
      <w:r>
        <w:rPr>
          <w:rFonts w:ascii="Georgia" w:cs="Georgia" w:eastAsia="Georgia" w:hAnsi="Georgia"/>
          <w:sz w:val="24"/>
          <w:szCs w:val="24"/>
        </w:rPr>
        <w:t xml:space="preserve">Les chapitres précédents ont présenté les deux piliers techniques de l'architecture réactive : l'écosystème API et l'architecture orientée événements. Mais ces infrastructures ne garantissent pas à elles seules la fiabilité des échanges. Dans un écosystème où des dizaines de systèmes échangent des événements en temps réel, comment s'assurer que producteurs et consommateurs s'accordent sur la structure, la qualité et la signification des données ? La réponse réside dans les contrats de données.</w:t>
      </w:r>
    </w:p>
    <w:p>
      <w:pPr>
        <w:spacing w:after="200" w:line="276"/>
        <w:jc w:val="both"/>
      </w:pPr>
      <w:r>
        <w:rPr>
          <w:rFonts w:ascii="Georgia" w:cs="Georgia" w:eastAsia="Georgia" w:hAnsi="Georgia"/>
          <w:sz w:val="24"/>
          <w:szCs w:val="24"/>
        </w:rPr>
        <w:t xml:space="preserve">Ce chapitre explore les contrats de données comme mécanisme de coordination dans les architectures distribuées. Nous examinerons d'abord la crise de fiabilité qui affecte les échanges de données, puis nous définirons les principes des contrats de données. Nous verrons comment les mettre en œuvre pour les API et les événements, et comment les gouverner à l'échelle de l'entreprise. Enfin, nous montrerons comment les contrats de données constituent la fondation du paradigme Data Mesh.</w:t>
      </w:r>
    </w:p>
    <w:p>
      <w:pPr>
        <w:pStyle w:val="Heading2"/>
      </w:pPr>
      <w:r>
        <w:rPr>
          <w:rFonts w:ascii="Arial" w:cs="Arial" w:eastAsia="Arial" w:hAnsi="Arial"/>
          <w:b/>
          <w:bCs/>
        </w:rPr>
        <w:t xml:space="preserve">I.7.1 La Crise de Fiabilité des Données dans les Architectures Distribuées</w:t>
      </w:r>
    </w:p>
    <w:p>
      <w:pPr>
        <w:spacing w:after="200" w:line="276"/>
        <w:jc w:val="both"/>
      </w:pPr>
      <w:r>
        <w:rPr>
          <w:rFonts w:ascii="Georgia" w:cs="Georgia" w:eastAsia="Georgia" w:hAnsi="Georgia"/>
          <w:sz w:val="24"/>
          <w:szCs w:val="24"/>
        </w:rPr>
        <w:t xml:space="preserve">La promesse des architectures distribuées — autonomie des équipes, évolutivité indépendante, résilience — se heurte à une réalité inconfortable : les données qui circulent entre systèmes sont souvent incohérentes, incomplètes ou mal comprises. Une étude de Gartner estime que les problèmes de qualité des données coûtent en moyenne douze millions de dollars par an aux organisations. Dans les architectures événementielles où les décisions sont prises en temps réel, ces problèmes deviennent critiques.</w:t>
      </w:r>
    </w:p>
    <w:p>
      <w:pPr>
        <w:spacing w:after="200" w:line="276"/>
        <w:jc w:val="both"/>
      </w:pPr>
      <w:r>
        <w:rPr>
          <w:rFonts w:ascii="Georgia" w:cs="Georgia" w:eastAsia="Georgia" w:hAnsi="Georgia"/>
          <w:sz w:val="24"/>
          <w:szCs w:val="24"/>
        </w:rPr>
        <w:t xml:space="preserve">Les symptômes de cette crise sont familiers. Les consommateurs découvrent des champs manquants ou mal formatés après le déploiement en production. Les changements de schéma par un producteur cassent silencieusement les consommateurs en aval. La signification d'un champ varie selon l'interprétation de chaque équipe. Les données nulles ou aberrantes se propagent à travers le système, corrompant les agrégations et les décisions. Les équipes passent plus de temps à déboguer les problèmes de données qu'à créer de la valeur.</w:t>
      </w:r>
    </w:p>
    <w:p>
      <w:pPr>
        <w:spacing w:after="200" w:line="276"/>
        <w:jc w:val="both"/>
      </w:pPr>
      <w:r>
        <w:rPr>
          <w:rFonts w:ascii="Georgia" w:cs="Georgia" w:eastAsia="Georgia" w:hAnsi="Georgia"/>
          <w:sz w:val="24"/>
          <w:szCs w:val="24"/>
        </w:rPr>
        <w:t xml:space="preserve">La racine du problème est l'absence d'accord explicite entre producteurs et consommateurs. Dans une architecture monolithique, une équipe unique contrôle le modèle de données ; la cohérence est assurée par construction. Dans une architecture distribuée, plusieurs équipes indépendantes produisent et consomment des données ; sans mécanisme de coordination, chacune développe ses propres hypothèses implicites qui divergent inévitablement.</w:t>
      </w:r>
    </w:p>
    <w:p>
      <w:pPr>
        <w:spacing w:after="200" w:line="276"/>
        <w:jc w:val="both"/>
      </w:pPr>
      <w:r>
        <w:rPr>
          <w:rFonts w:ascii="Georgia" w:cs="Georgia" w:eastAsia="Georgia" w:hAnsi="Georgia"/>
          <w:sz w:val="24"/>
          <w:szCs w:val="24"/>
        </w:rPr>
        <w:t xml:space="preserve">Les approches traditionnelles de gouvernance des données — comités centraux, modèles canoniques imposés, processus d'approbation lourds — échouent face à la vélocité des architectures modernes. Elles créent des goulets d'étranglement incompatibles avec l'agilité recherchée. Les équipes contournent ces processus, créant des flux de données « shadow » non gouvernés. Le résultat est le pire des deux mondes : bureaucratie sans fiabilité.</w:t>
      </w:r>
    </w:p>
    <w:p>
      <w:pPr>
        <w:pStyle w:val="Heading2"/>
      </w:pPr>
      <w:r>
        <w:rPr>
          <w:rFonts w:ascii="Arial" w:cs="Arial" w:eastAsia="Arial" w:hAnsi="Arial"/>
          <w:b/>
          <w:bCs/>
        </w:rPr>
        <w:t xml:space="preserve">I.7.2 Définition et Principes des Contrats de Données</w:t>
      </w:r>
    </w:p>
    <w:p>
      <w:pPr>
        <w:spacing w:after="200" w:line="276"/>
        <w:jc w:val="both"/>
      </w:pPr>
      <w:r>
        <w:rPr>
          <w:rFonts w:ascii="Georgia" w:cs="Georgia" w:eastAsia="Georgia" w:hAnsi="Georgia"/>
          <w:sz w:val="24"/>
          <w:szCs w:val="24"/>
        </w:rPr>
        <w:t xml:space="preserve">Un contrat de données est un accord formel entre un producteur et ses consommateurs qui spécifie la structure, la qualité, la sémantique et les conditions d'utilisation des données échangées. Contrairement à un simple schéma technique, le contrat englobe des dimensions métier et opérationnelles. Il constitue la base d'une relation de confiance qui permet aux parties d'évoluer indépendamment tout en préservant la compatibilité.</w:t>
      </w:r>
    </w:p>
    <w:p>
      <w:pPr>
        <w:spacing w:after="200" w:line="276"/>
        <w:jc w:val="both"/>
      </w:pPr>
      <w:r>
        <w:rPr>
          <w:rFonts w:ascii="Georgia" w:cs="Georgia" w:eastAsia="Georgia" w:hAnsi="Georgia"/>
          <w:b w:val="false"/>
          <w:bCs w:val="false"/>
          <w:i w:val="false"/>
          <w:iCs w:val="false"/>
          <w:sz w:val="24"/>
          <w:szCs w:val="24"/>
        </w:rPr>
        <w:t xml:space="preserve">Le premier principe est la </w:t>
      </w:r>
      <w:r>
        <w:rPr>
          <w:rFonts w:ascii="Georgia" w:cs="Georgia" w:eastAsia="Georgia" w:hAnsi="Georgia"/>
          <w:b/>
          <w:bCs/>
          <w:i/>
          <w:iCs/>
          <w:sz w:val="24"/>
          <w:szCs w:val="24"/>
        </w:rPr>
        <w:t xml:space="preserve">responsabilité du producteur</w:t>
      </w:r>
      <w:r>
        <w:rPr>
          <w:rFonts w:ascii="Georgia" w:cs="Georgia" w:eastAsia="Georgia" w:hAnsi="Georgia"/>
          <w:b w:val="false"/>
          <w:bCs w:val="false"/>
          <w:i w:val="false"/>
          <w:iCs w:val="false"/>
          <w:sz w:val="24"/>
          <w:szCs w:val="24"/>
        </w:rPr>
        <w:t xml:space="preserve">. Le producteur est propriétaire du contrat et responsable de sa qualité. Il s'engage à respecter les garanties spécifiées et à communiquer les changements selon des règles convenues. Cette responsabilité claire évite le syndrome du « c'est pas mon problème » où chaque partie blâme l'autre pour les défaillances.</w:t>
      </w:r>
    </w:p>
    <w:p>
      <w:pPr>
        <w:spacing w:after="200" w:line="276"/>
        <w:jc w:val="both"/>
      </w:pPr>
      <w:r>
        <w:rPr>
          <w:rFonts w:ascii="Georgia" w:cs="Georgia" w:eastAsia="Georgia" w:hAnsi="Georgia"/>
          <w:b w:val="false"/>
          <w:bCs w:val="false"/>
          <w:i w:val="false"/>
          <w:iCs w:val="false"/>
          <w:sz w:val="24"/>
          <w:szCs w:val="24"/>
        </w:rPr>
        <w:t xml:space="preserve">Le deuxième principe est l'</w:t>
      </w:r>
      <w:r>
        <w:rPr>
          <w:rFonts w:ascii="Georgia" w:cs="Georgia" w:eastAsia="Georgia" w:hAnsi="Georgia"/>
          <w:b/>
          <w:bCs/>
          <w:i/>
          <w:iCs/>
          <w:sz w:val="24"/>
          <w:szCs w:val="24"/>
        </w:rPr>
        <w:t xml:space="preserve">explicitation des attentes</w:t>
      </w:r>
      <w:r>
        <w:rPr>
          <w:rFonts w:ascii="Georgia" w:cs="Georgia" w:eastAsia="Georgia" w:hAnsi="Georgia"/>
          <w:b w:val="false"/>
          <w:bCs w:val="false"/>
          <w:i w:val="false"/>
          <w:iCs w:val="false"/>
          <w:sz w:val="24"/>
          <w:szCs w:val="24"/>
        </w:rPr>
        <w:t xml:space="preserve">. Tout ce qui n'est pas explicitement garanti ne doit pas être supposé. Si un champ peut être null, le contrat le dit. Si un format de date est attendu, le contrat le spécifie. Si une valeur a des bornes acceptables, le contrat les définit. Cette explicitation transforme les hypothèses implicites en accords vérifiables.</w:t>
      </w:r>
    </w:p>
    <w:p>
      <w:pPr>
        <w:spacing w:after="200" w:line="276"/>
        <w:jc w:val="both"/>
      </w:pPr>
      <w:r>
        <w:rPr>
          <w:rFonts w:ascii="Georgia" w:cs="Georgia" w:eastAsia="Georgia" w:hAnsi="Georgia"/>
          <w:b w:val="false"/>
          <w:bCs w:val="false"/>
          <w:i w:val="false"/>
          <w:iCs w:val="false"/>
          <w:sz w:val="24"/>
          <w:szCs w:val="24"/>
        </w:rPr>
        <w:t xml:space="preserve">Le troisième principe est la </w:t>
      </w:r>
      <w:r>
        <w:rPr>
          <w:rFonts w:ascii="Georgia" w:cs="Georgia" w:eastAsia="Georgia" w:hAnsi="Georgia"/>
          <w:b/>
          <w:bCs/>
          <w:i/>
          <w:iCs/>
          <w:sz w:val="24"/>
          <w:szCs w:val="24"/>
        </w:rPr>
        <w:t xml:space="preserve">compatibilité évolutive</w:t>
      </w:r>
      <w:r>
        <w:rPr>
          <w:rFonts w:ascii="Georgia" w:cs="Georgia" w:eastAsia="Georgia" w:hAnsi="Georgia"/>
          <w:b w:val="false"/>
          <w:bCs w:val="false"/>
          <w:i w:val="false"/>
          <w:iCs w:val="false"/>
          <w:sz w:val="24"/>
          <w:szCs w:val="24"/>
        </w:rPr>
        <w:t xml:space="preserve">. Les contrats doivent pouvoir évoluer sans casser les consommateurs existants. Les règles de compatibilité ascendante (backward) et descendante (forward) définissent quels changements sont autorisés. L'ajout d'un champ optionnel est généralement sûr ; le renommage d'un champ obligatoire ne l'est pas.</w:t>
      </w:r>
    </w:p>
    <w:p>
      <w:pPr>
        <w:spacing w:after="200" w:line="276"/>
        <w:jc w:val="both"/>
      </w:pPr>
      <w:r>
        <w:rPr>
          <w:rFonts w:ascii="Georgia" w:cs="Georgia" w:eastAsia="Georgia" w:hAnsi="Georgia"/>
          <w:b w:val="false"/>
          <w:bCs w:val="false"/>
          <w:i w:val="false"/>
          <w:iCs w:val="false"/>
          <w:sz w:val="24"/>
          <w:szCs w:val="24"/>
        </w:rPr>
        <w:t xml:space="preserve">Le quatrième principe est la </w:t>
      </w:r>
      <w:r>
        <w:rPr>
          <w:rFonts w:ascii="Georgia" w:cs="Georgia" w:eastAsia="Georgia" w:hAnsi="Georgia"/>
          <w:b/>
          <w:bCs/>
          <w:i/>
          <w:iCs/>
          <w:sz w:val="24"/>
          <w:szCs w:val="24"/>
        </w:rPr>
        <w:t xml:space="preserve">validation automatisée</w:t>
      </w:r>
      <w:r>
        <w:rPr>
          <w:rFonts w:ascii="Georgia" w:cs="Georgia" w:eastAsia="Georgia" w:hAnsi="Georgia"/>
          <w:b w:val="false"/>
          <w:bCs w:val="false"/>
          <w:i w:val="false"/>
          <w:iCs w:val="false"/>
          <w:sz w:val="24"/>
          <w:szCs w:val="24"/>
        </w:rPr>
        <w:t xml:space="preserve">. Un contrat n'a de valeur que s'il est vérifié. La validation doit être intégrée dans les pipelines de production et de consommation, détectant les violations au plus tôt. Les outils de Contract Testing automatisent cette vérification, transformant le contrat en garde-fou plutôt qu'en documentation passive.</w:t>
      </w:r>
    </w:p>
    <w:p>
      <w:pPr>
        <w:pStyle w:val="Heading2"/>
      </w:pPr>
      <w:r>
        <w:rPr>
          <w:rFonts w:ascii="Arial" w:cs="Arial" w:eastAsia="Arial" w:hAnsi="Arial"/>
          <w:b/>
          <w:bCs/>
        </w:rPr>
        <w:t xml:space="preserve">I.7.3 Mise en Œuvre des Contrats pour les API et les Événements</w:t>
      </w:r>
    </w:p>
    <w:p>
      <w:pPr>
        <w:pStyle w:val="Heading3"/>
      </w:pPr>
      <w:r>
        <w:rPr>
          <w:rFonts w:ascii="Arial" w:cs="Arial" w:eastAsia="Arial" w:hAnsi="Arial"/>
          <w:b/>
          <w:bCs/>
        </w:rPr>
        <w:t xml:space="preserve">Contrats pour les API REST et GraphQL</w:t>
      </w:r>
    </w:p>
    <w:p>
      <w:pPr>
        <w:spacing w:after="200" w:line="276"/>
        <w:jc w:val="both"/>
      </w:pPr>
      <w:r>
        <w:rPr>
          <w:rFonts w:ascii="Georgia" w:cs="Georgia" w:eastAsia="Georgia" w:hAnsi="Georgia"/>
          <w:sz w:val="24"/>
          <w:szCs w:val="24"/>
        </w:rPr>
        <w:t xml:space="preserve">Pour les API REST, la spécification OpenAPI constitue le socle technique du contrat. Elle définit les endpoints, les paramètres, les schémas de requête et de réponse, les codes d'erreur. Les extensions OpenAPI permettent d'ajouter des métadonnées spécifiques : propriétaire, niveau de service, classification des données. Les outils comme Spectral valident la conformité des spécifications aux standards de l'organisation.</w:t>
      </w:r>
    </w:p>
    <w:p>
      <w:pPr>
        <w:spacing w:after="200" w:line="276"/>
        <w:jc w:val="both"/>
      </w:pPr>
      <w:r>
        <w:rPr>
          <w:rFonts w:ascii="Georgia" w:cs="Georgia" w:eastAsia="Georgia" w:hAnsi="Georgia"/>
          <w:sz w:val="24"/>
          <w:szCs w:val="24"/>
        </w:rPr>
        <w:t xml:space="preserve">Le Consumer-Driven Contract Testing renverse la perspective traditionnelle. Au lieu que le producteur définisse unilatéralement le contrat, les consommateurs expriment leurs attentes sous forme de tests. L'outil Pact a popularisé cette approche : chaque consommateur génère un « pact » décrivant les interactions attendues ; le producteur vérifie que son implémentation satisfait tous les pacts. Cette approche garantit que le producteur ne casse pas involontairement ses consommateurs.</w:t>
      </w:r>
    </w:p>
    <w:p>
      <w:pPr>
        <w:spacing w:after="200" w:line="276"/>
        <w:jc w:val="both"/>
      </w:pPr>
      <w:r>
        <w:rPr>
          <w:rFonts w:ascii="Georgia" w:cs="Georgia" w:eastAsia="Georgia" w:hAnsi="Georgia"/>
          <w:sz w:val="24"/>
          <w:szCs w:val="24"/>
        </w:rPr>
        <w:t xml:space="preserve">Pour GraphQL, le schéma fortement typé constitue naturellement un contrat. Les directives GraphQL permettent d'annoter le schéma avec des métadonnées de dépréciation, d'autorisation ou de documentation. Les outils comme GraphQL Inspector détectent les changements incompatibles entre versions du schéma. La nature introspectable de GraphQL facilite la découverte et la validation des contrats.</w:t>
      </w:r>
    </w:p>
    <w:p>
      <w:pPr>
        <w:pStyle w:val="Heading3"/>
      </w:pPr>
      <w:r>
        <w:rPr>
          <w:rFonts w:ascii="Arial" w:cs="Arial" w:eastAsia="Arial" w:hAnsi="Arial"/>
          <w:b/>
          <w:bCs/>
        </w:rPr>
        <w:t xml:space="preserve">Contrats pour les Événements Kafka</w:t>
      </w:r>
    </w:p>
    <w:p>
      <w:pPr>
        <w:spacing w:after="200" w:line="276"/>
        <w:jc w:val="both"/>
      </w:pPr>
      <w:r>
        <w:rPr>
          <w:rFonts w:ascii="Georgia" w:cs="Georgia" w:eastAsia="Georgia" w:hAnsi="Georgia"/>
          <w:sz w:val="24"/>
          <w:szCs w:val="24"/>
        </w:rPr>
        <w:t xml:space="preserve">Pour les événements Kafka, le Schema Registry de Confluent joue un rôle central. Il stocke les schémas Avro, JSON Schema ou Protobuf associés aux topics, et valide chaque message produit contre son schéma. Les règles de compatibilité — BACKWARD, FORWARD, FULL — sont configurées par topic, déterminant quelles évolutions de schéma sont autorisées.</w:t>
      </w:r>
    </w:p>
    <w:p>
      <w:pPr>
        <w:spacing w:after="200" w:line="276"/>
        <w:jc w:val="both"/>
      </w:pPr>
      <w:r>
        <w:rPr>
          <w:rFonts w:ascii="Georgia" w:cs="Georgia" w:eastAsia="Georgia" w:hAnsi="Georgia"/>
          <w:sz w:val="24"/>
          <w:szCs w:val="24"/>
        </w:rPr>
        <w:t xml:space="preserve">Apache Avro, format de sérialisation privilégié dans l'écosystème Kafka, a été conçu avec l'évolution des schémas en tête. Les champs peuvent avoir des valeurs par défaut permettant leur ajout sans casser les consommateurs. Les alias permettent de renommer des champs tout en maintenant la compatibilité. La résolution de schéma au runtime permet à un consommateur utilisant une ancienne version du schéma de lire des messages produits avec une version plus récente.</w:t>
      </w:r>
    </w:p>
    <w:p>
      <w:pPr>
        <w:spacing w:after="200" w:line="276"/>
        <w:jc w:val="both"/>
      </w:pPr>
      <w:r>
        <w:rPr>
          <w:rFonts w:ascii="Georgia" w:cs="Georgia" w:eastAsia="Georgia" w:hAnsi="Georgia"/>
          <w:sz w:val="24"/>
          <w:szCs w:val="24"/>
        </w:rPr>
        <w:t xml:space="preserve">Au-delà du schéma technique, le contrat d'événement doit spécifier des éléments métier. La sémantique de l'événement : que signifie exactement « CommandeCreee » versus « CommandeValidee » ? Les garanties de livraison : au moins une fois, exactement une fois ? L'ordre : les événements d'une même entité sont-ils garantis ordonnés ? La rétention : combien de temps l'événement reste-t-il disponible pour replay ? Ces éléments, souvent documentés en AsyncAPI, complètent le schéma technique.</w:t>
      </w:r>
    </w:p>
    <w:p>
      <w:pPr>
        <w:spacing w:before="300" w:after="200"/>
      </w:pPr>
      <w:r>
        <w:rPr>
          <w:rFonts w:ascii="Arial" w:cs="Arial" w:eastAsia="Arial" w:hAnsi="Arial"/>
          <w:b/>
          <w:bCs/>
          <w:i/>
          <w:iCs/>
          <w:sz w:val="22"/>
          <w:szCs w:val="22"/>
        </w:rPr>
        <w:t xml:space="preserve">Tableau I.7.1 — Composants d'un Contrat de Données Complet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Composant</w:t>
            </w:r>
          </w:p>
        </w:tc>
        <w:tc>
          <w:tcPr>
            <w:tcW w:type="dxa" w:w="676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Description</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Schéma</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Structure des données : champs, types, contraintes (OpenAPI, Avro, JSON Schema)</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Sémantique</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Signification métier des champs et des événements, glossaire de référence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Qualité</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Règles de validation : nullabilité, formats, plages de valeurs, unicité</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SLA</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Niveaux de service : disponibilité, latence, débit, fraîcheur des données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Évolution</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Règles de compatibilité, processus de versionnement, périodes de dépréciation</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Gouvernance</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Propriétaire, classification (PII, confidentiel), politiques de rétention</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Support</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Canaux de communication, processus d'escalade, documentation</w:t>
            </w:r>
          </w:p>
        </w:tc>
      </w:tr>
    </w:tbl>
    <w:p>
      <w:pPr>
        <w:pStyle w:val="Heading2"/>
        <w:spacing w:before="400"/>
      </w:pPr>
      <w:r>
        <w:rPr>
          <w:rFonts w:ascii="Arial" w:cs="Arial" w:eastAsia="Arial" w:hAnsi="Arial"/>
          <w:b/>
          <w:bCs/>
        </w:rPr>
        <w:t xml:space="preserve">I.7.4 Gouvernance des Contrats</w:t>
      </w:r>
    </w:p>
    <w:p>
      <w:pPr>
        <w:spacing w:after="200" w:line="276"/>
        <w:jc w:val="both"/>
      </w:pPr>
      <w:r>
        <w:rPr>
          <w:rFonts w:ascii="Georgia" w:cs="Georgia" w:eastAsia="Georgia" w:hAnsi="Georgia"/>
          <w:sz w:val="24"/>
          <w:szCs w:val="24"/>
        </w:rPr>
        <w:t xml:space="preserve">La gouvernance des contrats de données vise à maintenir la qualité et la cohérence à l'échelle de l'entreprise sans créer de bureaucratie paralysante. Elle repose sur un équilibre entre standards centraux et autonomie des équipes. Le centre définit les règles du jeu ; les équipes les appliquent dans leur contexte spécifique.</w:t>
      </w:r>
    </w:p>
    <w:p>
      <w:pPr>
        <w:spacing w:after="200" w:line="276"/>
        <w:jc w:val="both"/>
      </w:pPr>
      <w:r>
        <w:rPr>
          <w:rFonts w:ascii="Georgia" w:cs="Georgia" w:eastAsia="Georgia" w:hAnsi="Georgia"/>
          <w:sz w:val="24"/>
          <w:szCs w:val="24"/>
        </w:rPr>
        <w:t xml:space="preserve">Un catalogue de contrats centralise la découverte. Tout contrat publié — API ou événement — est référencé dans ce catalogue avec ses métadonnées : propriétaire, domaine métier, classification, dépendances. Les équipes peuvent explorer le catalogue pour trouver les données existantes avant d'en créer de nouvelles. Des outils comme Backstage (Spotify) ou Collibra offrent ces capacités de catalogage.</w:t>
      </w:r>
    </w:p>
    <w:p>
      <w:pPr>
        <w:spacing w:after="200" w:line="276"/>
        <w:jc w:val="both"/>
      </w:pPr>
      <w:r>
        <w:rPr>
          <w:rFonts w:ascii="Georgia" w:cs="Georgia" w:eastAsia="Georgia" w:hAnsi="Georgia"/>
          <w:sz w:val="24"/>
          <w:szCs w:val="24"/>
        </w:rPr>
        <w:t xml:space="preserve">Les revues de contrat assurent la qualité avant publication. Contrairement aux comités d'architecture lourds, ces revues peuvent être automatisées pour les aspects techniques (conformité aux standards, règles de nommage, compatibilité) et légères pour les aspects métier (pertinence sémantique, alignement avec le domaine). L'intégration dans les pipelines CI/CD permet de bloquer les contrats non conformes.</w:t>
      </w:r>
    </w:p>
    <w:p>
      <w:pPr>
        <w:spacing w:after="200" w:line="276"/>
        <w:jc w:val="both"/>
      </w:pPr>
      <w:r>
        <w:rPr>
          <w:rFonts w:ascii="Georgia" w:cs="Georgia" w:eastAsia="Georgia" w:hAnsi="Georgia"/>
          <w:sz w:val="24"/>
          <w:szCs w:val="24"/>
        </w:rPr>
        <w:t xml:space="preserve">Le monitoring des contrats détecte les violations en production. Les métriques de qualité — taux de messages invalides, latence de livraison, disponibilité — sont collectées et alertent en cas de dégradation. Les tableaux de bord exposent la santé des contrats aux producteurs et aux consommateurs. Cette observabilité transforme le contrat d'un accord statique en un engagement vivant et mesurable.</w:t>
      </w:r>
    </w:p>
    <w:p>
      <w:pPr>
        <w:pStyle w:val="Heading2"/>
      </w:pPr>
      <w:r>
        <w:rPr>
          <w:rFonts w:ascii="Arial" w:cs="Arial" w:eastAsia="Arial" w:hAnsi="Arial"/>
          <w:b/>
          <w:bCs/>
        </w:rPr>
        <w:t xml:space="preserve">I.7.5 Le Contrat de Données comme Fondation du Data Mesh</w:t>
      </w:r>
    </w:p>
    <w:p>
      <w:pPr>
        <w:spacing w:after="200" w:line="276"/>
        <w:jc w:val="both"/>
      </w:pPr>
      <w:r>
        <w:rPr>
          <w:rFonts w:ascii="Georgia" w:cs="Georgia" w:eastAsia="Georgia" w:hAnsi="Georgia"/>
          <w:sz w:val="24"/>
          <w:szCs w:val="24"/>
        </w:rPr>
        <w:t xml:space="preserve">Le Data Mesh, paradigme architectural proposé par Zhamak Dehghani en 2019, révolutionne la gestion des données d'entreprise. Il décentralise la propriété des données vers les domaines métier qui les produisent, traite les données comme des produits avec des consommateurs à satisfaire, et s'appuie sur une plateforme en libre-service qui démocratise l'accès aux capacités de données. Les contrats de données constituent le mécanisme de coordination qui rend cette décentralisation viable.</w:t>
      </w:r>
    </w:p>
    <w:p>
      <w:pPr>
        <w:spacing w:after="200" w:line="276"/>
        <w:jc w:val="both"/>
      </w:pPr>
      <w:r>
        <w:rPr>
          <w:rFonts w:ascii="Georgia" w:cs="Georgia" w:eastAsia="Georgia" w:hAnsi="Georgia"/>
          <w:b w:val="false"/>
          <w:bCs w:val="false"/>
          <w:i w:val="false"/>
          <w:iCs w:val="false"/>
          <w:sz w:val="24"/>
          <w:szCs w:val="24"/>
        </w:rPr>
        <w:t xml:space="preserve">Le premier pilier du Data Mesh est la </w:t>
      </w:r>
      <w:r>
        <w:rPr>
          <w:rFonts w:ascii="Georgia" w:cs="Georgia" w:eastAsia="Georgia" w:hAnsi="Georgia"/>
          <w:b/>
          <w:bCs/>
          <w:i/>
          <w:iCs/>
          <w:sz w:val="24"/>
          <w:szCs w:val="24"/>
        </w:rPr>
        <w:t xml:space="preserve">propriété par domaine</w:t>
      </w:r>
      <w:r>
        <w:rPr>
          <w:rFonts w:ascii="Georgia" w:cs="Georgia" w:eastAsia="Georgia" w:hAnsi="Georgia"/>
          <w:b w:val="false"/>
          <w:bCs w:val="false"/>
          <w:i w:val="false"/>
          <w:iCs w:val="false"/>
          <w:sz w:val="24"/>
          <w:szCs w:val="24"/>
        </w:rPr>
        <w:t xml:space="preserve">. Chaque domaine métier — ventes, logistique, finance — possède et opère ses propres données plutôt que de les déléguer à une équipe data centrale. Cette propriété s'accompagne de responsabilité : le domaine garantit la qualité de ses données via des contrats explicites. Le Lakehouse du domaine expose des produits de données que d'autres domaines peuvent consommer.</w:t>
      </w:r>
    </w:p>
    <w:p>
      <w:pPr>
        <w:spacing w:after="200" w:line="276"/>
        <w:jc w:val="both"/>
      </w:pPr>
      <w:r>
        <w:rPr>
          <w:rFonts w:ascii="Georgia" w:cs="Georgia" w:eastAsia="Georgia" w:hAnsi="Georgia"/>
          <w:b w:val="false"/>
          <w:bCs w:val="false"/>
          <w:i w:val="false"/>
          <w:iCs w:val="false"/>
          <w:sz w:val="24"/>
          <w:szCs w:val="24"/>
        </w:rPr>
        <w:t xml:space="preserve">Le deuxième pilier est les </w:t>
      </w:r>
      <w:r>
        <w:rPr>
          <w:rFonts w:ascii="Georgia" w:cs="Georgia" w:eastAsia="Georgia" w:hAnsi="Georgia"/>
          <w:b/>
          <w:bCs/>
          <w:i/>
          <w:iCs/>
          <w:sz w:val="24"/>
          <w:szCs w:val="24"/>
        </w:rPr>
        <w:t xml:space="preserve">données comme produit</w:t>
      </w:r>
      <w:r>
        <w:rPr>
          <w:rFonts w:ascii="Georgia" w:cs="Georgia" w:eastAsia="Georgia" w:hAnsi="Georgia"/>
          <w:b w:val="false"/>
          <w:bCs w:val="false"/>
          <w:i w:val="false"/>
          <w:iCs w:val="false"/>
          <w:sz w:val="24"/>
          <w:szCs w:val="24"/>
        </w:rPr>
        <w:t xml:space="preserve">. Les données exposées par un domaine sont traitées comme des produits avec des utilisateurs à satisfaire. Elles disposent d'une documentation, d'un SLA, d'un support. Le contrat de données formalise cette relation produit-consommateur. Les métriques d'adoption et de satisfaction guident l'évolution du produit de données.</w:t>
      </w:r>
    </w:p>
    <w:p>
      <w:pPr>
        <w:spacing w:after="200" w:line="276"/>
        <w:jc w:val="both"/>
      </w:pPr>
      <w:r>
        <w:rPr>
          <w:rFonts w:ascii="Georgia" w:cs="Georgia" w:eastAsia="Georgia" w:hAnsi="Georgia"/>
          <w:b w:val="false"/>
          <w:bCs w:val="false"/>
          <w:i w:val="false"/>
          <w:iCs w:val="false"/>
          <w:sz w:val="24"/>
          <w:szCs w:val="24"/>
        </w:rPr>
        <w:t xml:space="preserve">Le troisième pilier est la </w:t>
      </w:r>
      <w:r>
        <w:rPr>
          <w:rFonts w:ascii="Georgia" w:cs="Georgia" w:eastAsia="Georgia" w:hAnsi="Georgia"/>
          <w:b/>
          <w:bCs/>
          <w:i/>
          <w:iCs/>
          <w:sz w:val="24"/>
          <w:szCs w:val="24"/>
        </w:rPr>
        <w:t xml:space="preserve">plateforme en libre-service</w:t>
      </w:r>
      <w:r>
        <w:rPr>
          <w:rFonts w:ascii="Georgia" w:cs="Georgia" w:eastAsia="Georgia" w:hAnsi="Georgia"/>
          <w:b w:val="false"/>
          <w:bCs w:val="false"/>
          <w:i w:val="false"/>
          <w:iCs w:val="false"/>
          <w:sz w:val="24"/>
          <w:szCs w:val="24"/>
        </w:rPr>
        <w:t xml:space="preserve">. Une plateforme centrale fournit les outils que les domaines utilisent pour créer, publier et consommer des produits de données. Cette plateforme inclut le stockage (Lakehouse), le streaming (Kafka/Confluent), la gouvernance (Schema Registry, catalogue), l'observabilité. Les domaines sont autonomes pour utiliser ces capacités sans dépendre d'une équipe centrale.</w:t>
      </w:r>
    </w:p>
    <w:p>
      <w:pPr>
        <w:spacing w:after="200" w:line="276"/>
        <w:jc w:val="both"/>
      </w:pPr>
      <w:r>
        <w:rPr>
          <w:rFonts w:ascii="Georgia" w:cs="Georgia" w:eastAsia="Georgia" w:hAnsi="Georgia"/>
          <w:b w:val="false"/>
          <w:bCs w:val="false"/>
          <w:i w:val="false"/>
          <w:iCs w:val="false"/>
          <w:sz w:val="24"/>
          <w:szCs w:val="24"/>
        </w:rPr>
        <w:t xml:space="preserve">Le quatrième pilier est la </w:t>
      </w:r>
      <w:r>
        <w:rPr>
          <w:rFonts w:ascii="Georgia" w:cs="Georgia" w:eastAsia="Georgia" w:hAnsi="Georgia"/>
          <w:b/>
          <w:bCs/>
          <w:i/>
          <w:iCs/>
          <w:sz w:val="24"/>
          <w:szCs w:val="24"/>
        </w:rPr>
        <w:t xml:space="preserve">gouvernance fédérée</w:t>
      </w:r>
      <w:r>
        <w:rPr>
          <w:rFonts w:ascii="Georgia" w:cs="Georgia" w:eastAsia="Georgia" w:hAnsi="Georgia"/>
          <w:b w:val="false"/>
          <w:bCs w:val="false"/>
          <w:i w:val="false"/>
          <w:iCs w:val="false"/>
          <w:sz w:val="24"/>
          <w:szCs w:val="24"/>
        </w:rPr>
        <w:t xml:space="preserve">. Des standards globaux — formats, conventions de nommage, règles de sécurité — assurent l'interopérabilité entre domaines. Ces standards sont définis collaborativement et encodés dans la plateforme plutôt qu'imposés par décret. Les contrats de données matérialisent ces standards dans chaque produit de données.</w:t>
      </w:r>
    </w:p>
    <w:p>
      <w:pPr>
        <w:spacing w:after="200" w:line="276"/>
        <w:jc w:val="both"/>
      </w:pPr>
      <w:r>
        <w:rPr>
          <w:rFonts w:ascii="Georgia" w:cs="Georgia" w:eastAsia="Georgia" w:hAnsi="Georgia"/>
          <w:sz w:val="24"/>
          <w:szCs w:val="24"/>
        </w:rPr>
        <w:t xml:space="preserve">Dans une architecture Data Mesh, le contrat de données devient l'interface entre domaines. Un domaine qui souhaite consommer les données d'un autre s'appuie sur le contrat publié plutôt que sur une connaissance intime de l'implémentation. Cette indirection permet aux domaines d'évoluer indépendamment tant qu'ils respectent leurs contrats. Le maillage d'événements (Event Mesh) présenté au chapitre précédent fournit l'infrastructure de distribution ; les contrats de données fournissent les règles de coordination.</w:t>
      </w:r>
    </w:p>
    <w:p>
      <w:pPr>
        <w:pStyle w:val="Heading2"/>
      </w:pPr>
      <w:r>
        <w:rPr>
          <w:rFonts w:ascii="Arial" w:cs="Arial" w:eastAsia="Arial" w:hAnsi="Arial"/>
          <w:b/>
          <w:bCs/>
        </w:rPr>
        <w:t xml:space="preserve">I.7.6 Conclusion : De la Confiance Implicite à la Confiance Explicite</w:t>
      </w:r>
    </w:p>
    <w:p>
      <w:pPr>
        <w:spacing w:after="200" w:line="276"/>
        <w:jc w:val="both"/>
      </w:pPr>
      <w:r>
        <w:rPr>
          <w:rFonts w:ascii="Georgia" w:cs="Georgia" w:eastAsia="Georgia" w:hAnsi="Georgia"/>
          <w:sz w:val="24"/>
          <w:szCs w:val="24"/>
        </w:rPr>
        <w:t xml:space="preserve">Les contrats de données transforment la confiance implicite — espérer que les données seront correctes — en confiance explicite — vérifier que les données respectent des garanties documentées. Cette transformation est essentielle pour les architectures distribuées où les équipes ne peuvent pas se coordonner en temps réel sur chaque échange.</w:t>
      </w:r>
    </w:p>
    <w:p>
      <w:pPr>
        <w:spacing w:after="200" w:line="276"/>
        <w:jc w:val="both"/>
      </w:pPr>
      <w:r>
        <w:rPr>
          <w:rFonts w:ascii="Georgia" w:cs="Georgia" w:eastAsia="Georgia" w:hAnsi="Georgia"/>
          <w:sz w:val="24"/>
          <w:szCs w:val="24"/>
        </w:rPr>
        <w:t xml:space="preserve">La mise en œuvre des contrats de données exige un investissement initial : définition des schémas, spécification des règles de qualité, mise en place de la validation automatisée. Cet investissement est largement compensé par la réduction des incidents de production, l'accélération de l'intégration de nouveaux consommateurs et la capacité d'évolution maîtrisée. Les organisations matures en contrats de données déploient plus rapidement avec moins de défauts.</w:t>
      </w:r>
    </w:p>
    <w:p>
      <w:pPr>
        <w:spacing w:after="200" w:line="276"/>
        <w:jc w:val="both"/>
      </w:pPr>
      <w:r>
        <w:rPr>
          <w:rFonts w:ascii="Georgia" w:cs="Georgia" w:eastAsia="Georgia" w:hAnsi="Georgia"/>
          <w:sz w:val="24"/>
          <w:szCs w:val="24"/>
        </w:rPr>
        <w:t xml:space="preserve">Pour l'entreprise agentique, les contrats de données prennent une importance accrue. Les agents cognitifs interagiront avec les données de l'entreprise via ces contrats. Un agent qui consomme des événements de commande s'appuiera sur le contrat pour comprendre la structure et la sémantique des données. La qualité des contrats conditionne directement la capacité des agents à opérer de manière fiable et autonome.</w:t>
      </w:r>
    </w:p>
    <w:p>
      <w:pPr>
        <w:pStyle w:val="Heading2"/>
      </w:pPr>
      <w:r>
        <w:rPr>
          <w:rFonts w:ascii="Arial" w:cs="Arial" w:eastAsia="Arial" w:hAnsi="Arial"/>
          <w:b/>
          <w:bCs/>
        </w:rPr>
        <w:t xml:space="preserve">I.7.7 Résumé</w:t>
      </w:r>
    </w:p>
    <w:p>
      <w:pPr>
        <w:spacing w:after="200" w:line="276"/>
        <w:jc w:val="both"/>
      </w:pPr>
      <w:r>
        <w:rPr>
          <w:rFonts w:ascii="Georgia" w:cs="Georgia" w:eastAsia="Georgia" w:hAnsi="Georgia"/>
          <w:sz w:val="24"/>
          <w:szCs w:val="24"/>
        </w:rPr>
        <w:t xml:space="preserve">La crise de fiabilité des données dans les architectures distribuées résulte de l'absence d'accords explicites entre producteurs et consommateurs. Les hypothèses implicites divergent inévitablement, causant des incidents en production et érodant la confiance. Les approches centralisées traditionnelles créent des goulets d'étranglement incompatibles avec l'agilité moderne.</w:t>
      </w:r>
    </w:p>
    <w:p>
      <w:pPr>
        <w:spacing w:after="200" w:line="276"/>
        <w:jc w:val="both"/>
      </w:pPr>
      <w:r>
        <w:rPr>
          <w:rFonts w:ascii="Georgia" w:cs="Georgia" w:eastAsia="Georgia" w:hAnsi="Georgia"/>
          <w:sz w:val="24"/>
          <w:szCs w:val="24"/>
        </w:rPr>
        <w:t xml:space="preserve">Les contrats de données formalisent les accords sur la structure, la qualité, la sémantique et les conditions d'utilisation des données. Quatre principes les guident : responsabilité du producteur, explicitation des attentes, compatibilité évolutive et validation automatisée. Les outils comme Schema Registry, Pact et les spécifications OpenAPI/AsyncAPI supportent leur mise en œuvre.</w:t>
      </w:r>
    </w:p>
    <w:p>
      <w:pPr>
        <w:spacing w:after="200" w:line="276"/>
        <w:jc w:val="both"/>
      </w:pPr>
      <w:r>
        <w:rPr>
          <w:rFonts w:ascii="Georgia" w:cs="Georgia" w:eastAsia="Georgia" w:hAnsi="Georgia"/>
          <w:sz w:val="24"/>
          <w:szCs w:val="24"/>
        </w:rPr>
        <w:t xml:space="preserve">Les contrats de données constituent la fondation du Data Mesh qui décentralise la propriété des données vers les domaines métier. Les quatre piliers du Data Mesh — propriété par domaine, données comme produit, plateforme en libre-service, gouvernance fédérée — s'appuient tous sur des contrats explicites pour coordonner les échanges entre domaines autonomes.</w:t>
      </w:r>
    </w:p>
    <w:p>
      <w:r>
        <w:br w:type="page"/>
      </w:r>
    </w:p>
    <w:p>
      <w:pPr>
        <w:spacing w:before="600" w:after="200"/>
        <w:jc w:val="center"/>
      </w:pPr>
      <w:r>
        <w:rPr>
          <w:rFonts w:ascii="Georgia" w:cs="Georgia" w:eastAsia="Georgia" w:hAnsi="Georgia"/>
          <w:sz w:val="28"/>
          <w:szCs w:val="28"/>
        </w:rPr>
        <w:t xml:space="preserve">◆ ◆ ◆</w:t>
      </w:r>
    </w:p>
    <w:p>
      <w:pPr>
        <w:spacing w:after="200" w:line="276"/>
        <w:jc w:val="both"/>
      </w:pPr>
      <w:r>
        <w:rPr>
          <w:rFonts w:ascii="Georgia" w:cs="Georgia" w:eastAsia="Georgia" w:hAnsi="Georgia"/>
          <w:b w:val="false"/>
          <w:bCs w:val="false"/>
          <w:i/>
          <w:iCs/>
          <w:sz w:val="24"/>
          <w:szCs w:val="24"/>
        </w:rPr>
        <w:t xml:space="preserve">Le chapitre suivant, </w:t>
      </w:r>
      <w:r>
        <w:rPr>
          <w:rFonts w:ascii="Georgia" w:cs="Georgia" w:eastAsia="Georgia" w:hAnsi="Georgia"/>
          <w:b/>
          <w:bCs/>
          <w:i/>
          <w:iCs/>
          <w:sz w:val="24"/>
          <w:szCs w:val="24"/>
        </w:rPr>
        <w:t xml:space="preserve">Conception, Implémentation et Observabilité de l'Infrastructure</w:t>
      </w:r>
      <w:r>
        <w:rPr>
          <w:rFonts w:ascii="Georgia" w:cs="Georgia" w:eastAsia="Georgia" w:hAnsi="Georgia"/>
          <w:b w:val="false"/>
          <w:bCs w:val="false"/>
          <w:i/>
          <w:iCs/>
          <w:sz w:val="24"/>
          <w:szCs w:val="24"/>
        </w:rPr>
        <w:t xml:space="preserve">, aborde la mise en œuvre concrète de l'architecture réactive. Comment concevoir une plateforme d'intégration moderne ? Comment exploiter les technologies cloud-native ? Comment observer le comportement des systèmes distribués pour détecter et résoudre les problèmes ? Ces questions opérationnelles conditionnent le succès de toute architecture.</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20"/>
        <w:szCs w:val="20"/>
      </w:rPr>
      <w:t xml:space="preserve">Page </w:t>
    </w:r>
    <w:r>
      <w:rPr>
        <w:rFonts w:ascii="Arial" w:cs="Arial" w:eastAsia="Arial" w:hAnsi="Arial"/>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666666"/>
        <w:sz w:val="20"/>
        <w:szCs w:val="20"/>
      </w:rPr>
      <w:t xml:space="preserve">Partie 2 : Architecture Réactive et Écosystème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a1a1a"/>
      <w:sz w:val="36"/>
      <w:szCs w:val="36"/>
    </w:rPr>
  </w:style>
  <w:style w:type="paragraph" w:styleId="Heading2">
    <w:name w:val="Heading 2"/>
    <w:basedOn w:val="Normal"/>
    <w:next w:val="Normal"/>
    <w:qFormat/>
    <w:pPr>
      <w:spacing w:before="360" w:after="180"/>
      <w:outlineLvl w:val="1"/>
    </w:pPr>
    <w:rPr>
      <w:rFonts w:ascii="Arial" w:cs="Arial" w:eastAsia="Arial" w:hAnsi="Arial"/>
      <w:b/>
      <w:bCs/>
      <w:color w:val="2a2a2a"/>
      <w:sz w:val="30"/>
      <w:szCs w:val="30"/>
    </w:rPr>
  </w:style>
  <w:style w:type="paragraph" w:styleId="Heading3">
    <w:name w:val="Heading 3"/>
    <w:basedOn w:val="Normal"/>
    <w:next w:val="Normal"/>
    <w:qFormat/>
    <w:pPr>
      <w:spacing w:before="280" w:after="140"/>
      <w:outlineLvl w:val="2"/>
    </w:pPr>
    <w:rPr>
      <w:rFonts w:ascii="Arial" w:cs="Arial" w:eastAsia="Arial" w:hAnsi="Arial"/>
      <w:b/>
      <w:bCs/>
      <w:color w:val="3a3a3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2026-01-11T02:10:03.261Z</dcterms:created>
  <dcterms:modified xsi:type="dcterms:W3CDTF">2026-01-11T02:10:03.262Z</dcterms:modified>
</cp:coreProperties>
</file>

<file path=docProps/custom.xml><?xml version="1.0" encoding="utf-8"?>
<Properties xmlns="http://schemas.openxmlformats.org/officeDocument/2006/custom-properties" xmlns:vt="http://schemas.openxmlformats.org/officeDocument/2006/docPropsVTypes"/>
</file>