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666666"/>
          <w:sz w:val="28"/>
          <w:szCs w:val="28"/>
        </w:rPr>
        <w:t xml:space="preserve">CHAPITRE I.2</w:t>
      </w:r>
    </w:p>
    <w:p>
      <w:pPr>
        <w:pStyle w:val="Heading1"/>
        <w:spacing w:after="400"/>
        <w:jc w:val="center"/>
      </w:pPr>
      <w:r>
        <w:rPr>
          <w:rFonts w:ascii="Arial" w:cs="Arial" w:eastAsia="Arial" w:hAnsi="Arial"/>
          <w:b/>
          <w:bCs/>
          <w:sz w:val="36"/>
          <w:szCs w:val="36"/>
        </w:rPr>
        <w:t xml:space="preserve">Fondements et Dimensions de l'Interopérabilité</w:t>
      </w:r>
    </w:p>
    <w:p>
      <w:pPr>
        <w:spacing w:before="200" w:after="400"/>
        <w:ind w:left="2880"/>
        <w:jc w:val="right"/>
      </w:pPr>
      <w:r>
        <w:rPr>
          <w:rFonts w:ascii="Georgia" w:cs="Georgia" w:eastAsia="Georgia" w:hAnsi="Georgia"/>
          <w:i/>
          <w:iCs/>
          <w:sz w:val="22"/>
          <w:szCs w:val="22"/>
        </w:rPr>
        <w:t xml:space="preserve">« La carte n'est pas le territoire. »
— Alfred Korzybski</w:t>
      </w:r>
    </w:p>
    <w:p>
      <w:pPr>
        <w:spacing w:after="200" w:line="276"/>
        <w:jc w:val="both"/>
      </w:pPr>
      <w:r>
        <w:rPr>
          <w:rFonts w:ascii="Georgia" w:cs="Georgia" w:eastAsia="Georgia" w:hAnsi="Georgia"/>
          <w:sz w:val="24"/>
          <w:szCs w:val="24"/>
        </w:rPr>
        <w:t xml:space="preserve">Le chapitre précédent a diagnostiqué la crise de l'intégration comme un phénomène systémique, dépassant la seule dimension technique pour affecter l'organisation dans sa capacité à évoluer. Pour dépasser cette crise, un changement de paradigme s'impose : passer de l'intégration à l'interopérabilité. Ces deux termes, souvent utilisés de manière interchangeable, désignent en réalité des approches fondamentalement différentes, avec des implications architecturales et organisationnelles distinctes.</w:t>
      </w:r>
    </w:p>
    <w:p>
      <w:pPr>
        <w:spacing w:after="200" w:line="276"/>
        <w:jc w:val="both"/>
      </w:pPr>
      <w:r>
        <w:rPr>
          <w:rFonts w:ascii="Georgia" w:cs="Georgia" w:eastAsia="Georgia" w:hAnsi="Georgia"/>
          <w:sz w:val="24"/>
          <w:szCs w:val="24"/>
        </w:rPr>
        <w:t xml:space="preserve">Ce chapitre établit les fondements conceptuels de l'interopérabilité. Nous commencerons par retracer l'évolution du concept à travers les définitions formelles qui l'ont façonné, puis nous établirons la distinction cruciale avec l'intégration traditionnelle. Enfin, nous explorerons les multiples dimensions de l'interopérabilité — technique, sémantique, organisationnelle et légale — qui constituent ensemble le socle de l'entreprise agentique.</w:t>
      </w:r>
    </w:p>
    <w:p>
      <w:pPr>
        <w:pStyle w:val="Heading2"/>
      </w:pPr>
      <w:r>
        <w:rPr>
          <w:rFonts w:ascii="Arial" w:cs="Arial" w:eastAsia="Arial" w:hAnsi="Arial"/>
          <w:b/>
          <w:bCs/>
        </w:rPr>
        <w:t xml:space="preserve">I.2.1 Définitions Formelles et Évolution du Concept</w:t>
      </w:r>
    </w:p>
    <w:p>
      <w:pPr>
        <w:pStyle w:val="Heading3"/>
      </w:pPr>
      <w:r>
        <w:rPr>
          <w:rFonts w:ascii="Arial" w:cs="Arial" w:eastAsia="Arial" w:hAnsi="Arial"/>
          <w:b/>
          <w:bCs/>
        </w:rPr>
        <w:t xml:space="preserve">I.2.1.1 Le Point de Départ : La Rigueur des Standards</w:t>
      </w:r>
    </w:p>
    <w:p>
      <w:pPr>
        <w:spacing w:after="200" w:line="276"/>
        <w:jc w:val="both"/>
      </w:pPr>
      <w:r>
        <w:rPr>
          <w:rFonts w:ascii="Georgia" w:cs="Georgia" w:eastAsia="Georgia" w:hAnsi="Georgia"/>
          <w:sz w:val="24"/>
          <w:szCs w:val="24"/>
        </w:rPr>
        <w:t xml:space="preserve">L'interopérabilité trouve ses racines dans le domaine des télécommunications et des systèmes militaires, où la capacité de systèmes hétérogènes à communiquer constituait un enjeu opérationnel critique. L'Institute of Electrical and Electronics Engineers (IEEE) a fourni l'une des premières définitions formelles : la capacité de deux ou plusieurs systèmes ou composants à échanger des informations et à utiliser les informations échangées. Cette définition, apparemment simple, contient deux exigences distinctes : l'échange technique et l'utilisation effective.</w:t>
      </w:r>
    </w:p>
    <w:p>
      <w:pPr>
        <w:spacing w:after="200" w:line="276"/>
        <w:jc w:val="both"/>
      </w:pPr>
      <w:r>
        <w:rPr>
          <w:rFonts w:ascii="Georgia" w:cs="Georgia" w:eastAsia="Georgia" w:hAnsi="Georgia"/>
          <w:sz w:val="24"/>
          <w:szCs w:val="24"/>
        </w:rPr>
        <w:t xml:space="preserve">L'Organisation internationale de normalisation (ISO) a enrichi cette définition en y ajoutant la notion de contexte minimal. Selon la norme ISO/IEC 2382, l'interopérabilité désigne la capacité de communiquer, d'exécuter des programmes ou de transférer des données entre différentes unités fonctionnelles d'une manière qui requiert de l'utilisateur peu ou pas de connaissance des caractéristiques uniques de ces unités. Cette précision est essentielle : une véritable interopérabilité ne devrait pas exiger d'expertise particulière sur les systèmes impliqués.</w:t>
      </w:r>
    </w:p>
    <w:p>
      <w:pPr>
        <w:spacing w:after="200" w:line="276"/>
        <w:jc w:val="both"/>
      </w:pPr>
      <w:r>
        <w:rPr>
          <w:rFonts w:ascii="Georgia" w:cs="Georgia" w:eastAsia="Georgia" w:hAnsi="Georgia"/>
          <w:sz w:val="24"/>
          <w:szCs w:val="24"/>
        </w:rPr>
        <w:t xml:space="preserve">Le département de la Défense américain, confronté à l'intégration de systèmes d'armes de générations et de fournisseurs différents, a développé le concept de Levels of Information Systems Interoperability (LISI). Ce modèle hiérarchise l'interopérabilité en cinq niveaux, depuis l'isolation complète jusqu'à l'interopérabilité entreprise où les systèmes partagent une compréhension commune du domaine. Cette graduation reconnaît que l'interopérabilité n'est pas binaire mais constitue un continuum de maturité.</w:t>
      </w:r>
    </w:p>
    <w:p>
      <w:pPr>
        <w:pStyle w:val="Heading3"/>
      </w:pPr>
      <w:r>
        <w:rPr>
          <w:rFonts w:ascii="Arial" w:cs="Arial" w:eastAsia="Arial" w:hAnsi="Arial"/>
          <w:b/>
          <w:bCs/>
        </w:rPr>
        <w:t xml:space="preserve">I.2.1.2 Archéologie du Concept : Une Trajectoire d'Enrichissement Progressif</w:t>
      </w:r>
    </w:p>
    <w:p>
      <w:pPr>
        <w:spacing w:after="200" w:line="276"/>
        <w:jc w:val="both"/>
      </w:pPr>
      <w:r>
        <w:rPr>
          <w:rFonts w:ascii="Georgia" w:cs="Georgia" w:eastAsia="Georgia" w:hAnsi="Georgia"/>
          <w:sz w:val="24"/>
          <w:szCs w:val="24"/>
        </w:rPr>
        <w:t xml:space="preserve">L'évolution du concept d'interopérabilité reflète l'élargissement progressif de notre compréhension des défis de la collaboration entre systèmes. Les premières définitions, issues du monde des télécommunications, se focalisaient sur la connectivité physique et les protocoles de communication. Pouvoir établir une connexion et transmettre des bits constituait déjà un accomplissement significatif à l'ère des systèmes propriétaires fermés.</w:t>
      </w:r>
    </w:p>
    <w:p>
      <w:pPr>
        <w:spacing w:after="200" w:line="276"/>
        <w:jc w:val="both"/>
      </w:pPr>
      <w:r>
        <w:rPr>
          <w:rFonts w:ascii="Georgia" w:cs="Georgia" w:eastAsia="Georgia" w:hAnsi="Georgia"/>
          <w:sz w:val="24"/>
          <w:szCs w:val="24"/>
        </w:rPr>
        <w:t xml:space="preserve">Les années 1990 ont vu l'émergence de la dimension sémantique. Il ne suffisait plus que les systèmes puissent s'échanger des données ; encore fallait-il qu'ils interprètent ces données de manière cohérente. Le mouvement des ontologies, porté par des chercheurs comme Tom Gruber et Nicola Guarino, a proposé de formaliser la signification des concepts pour permettre une compréhension partagée. Les travaux sur le Web sémantique, initiés par Tim Berners-Lee, ont tenté d'étendre cette approche à l'échelle d'Internet.</w:t>
      </w:r>
    </w:p>
    <w:p>
      <w:pPr>
        <w:spacing w:after="200" w:line="276"/>
        <w:jc w:val="both"/>
      </w:pPr>
      <w:r>
        <w:rPr>
          <w:rFonts w:ascii="Georgia" w:cs="Georgia" w:eastAsia="Georgia" w:hAnsi="Georgia"/>
          <w:sz w:val="24"/>
          <w:szCs w:val="24"/>
        </w:rPr>
        <w:t xml:space="preserve">Les années 2000 ont ajouté la dimension organisationnelle. Les projets d'intégration échouaient souvent non par défaillance technique, mais par désalignement des processus métier, des responsabilités et des incitations. L'interopérabilité organisationnelle reconnaît que les systèmes sont opérés par des humains, au sein de structures qui possèdent leurs propres logiques. Plus récemment, la dimension légale et réglementaire s'est imposée, particulièrement en Europe avec le RGPD et les initiatives d'administration électronique.</w:t>
      </w:r>
    </w:p>
    <w:p>
      <w:pPr>
        <w:pStyle w:val="Heading3"/>
      </w:pPr>
      <w:r>
        <w:rPr>
          <w:rFonts w:ascii="Arial" w:cs="Arial" w:eastAsia="Arial" w:hAnsi="Arial"/>
          <w:b/>
          <w:bCs/>
        </w:rPr>
        <w:t xml:space="preserve">I.2.1.3 Synthèse Évolutive</w:t>
      </w:r>
    </w:p>
    <w:p>
      <w:pPr>
        <w:spacing w:after="200" w:line="276"/>
        <w:jc w:val="both"/>
      </w:pPr>
      <w:r>
        <w:rPr>
          <w:rFonts w:ascii="Georgia" w:cs="Georgia" w:eastAsia="Georgia" w:hAnsi="Georgia"/>
          <w:sz w:val="24"/>
          <w:szCs w:val="24"/>
        </w:rPr>
        <w:t xml:space="preserve">Cette trajectoire d'enrichissement nous conduit à une définition contemporaine de l'interopérabilité : la capacité intrinsèque de systèmes hétérogènes à collaborer efficacement pour atteindre des objectifs partagés, en transcendant les barrières techniques, sémantiques, organisationnelles et légales, avec un minimum de friction et d'adaptation spécifique. Plusieurs éléments de cette définition méritent d'être soulignés.</w:t>
      </w:r>
    </w:p>
    <w:p>
      <w:pPr>
        <w:spacing w:after="200" w:line="276"/>
        <w:jc w:val="both"/>
      </w:pPr>
      <w:r>
        <w:rPr>
          <w:rFonts w:ascii="Georgia" w:cs="Georgia" w:eastAsia="Georgia" w:hAnsi="Georgia"/>
          <w:b w:val="false"/>
          <w:bCs w:val="false"/>
          <w:i w:val="false"/>
          <w:iCs w:val="false"/>
          <w:sz w:val="24"/>
          <w:szCs w:val="24"/>
        </w:rPr>
        <w:t xml:space="preserve">Premièrement, l'interopérabilité est une </w:t>
      </w:r>
      <w:r>
        <w:rPr>
          <w:rFonts w:ascii="Georgia" w:cs="Georgia" w:eastAsia="Georgia" w:hAnsi="Georgia"/>
          <w:b w:val="false"/>
          <w:bCs w:val="false"/>
          <w:i/>
          <w:iCs/>
          <w:sz w:val="24"/>
          <w:szCs w:val="24"/>
        </w:rPr>
        <w:t xml:space="preserve">capacité intrinsèque</w:t>
      </w:r>
      <w:r>
        <w:rPr>
          <w:rFonts w:ascii="Georgia" w:cs="Georgia" w:eastAsia="Georgia" w:hAnsi="Georgia"/>
          <w:b w:val="false"/>
          <w:bCs w:val="false"/>
          <w:i w:val="false"/>
          <w:iCs w:val="false"/>
          <w:sz w:val="24"/>
          <w:szCs w:val="24"/>
        </w:rPr>
        <w:t xml:space="preserve">, et non le résultat d'un effort ponctuel d'intégration. Elle doit être conçue dans l'architecture des systèmes dès leur origine, pas ajoutée après coup. Deuxièmement, elle vise des </w:t>
      </w:r>
      <w:r>
        <w:rPr>
          <w:rFonts w:ascii="Georgia" w:cs="Georgia" w:eastAsia="Georgia" w:hAnsi="Georgia"/>
          <w:b w:val="false"/>
          <w:bCs w:val="false"/>
          <w:i/>
          <w:iCs/>
          <w:sz w:val="24"/>
          <w:szCs w:val="24"/>
        </w:rPr>
        <w:t xml:space="preserve">objectifs partagés</w:t>
      </w:r>
      <w:r>
        <w:rPr>
          <w:rFonts w:ascii="Georgia" w:cs="Georgia" w:eastAsia="Georgia" w:hAnsi="Georgia"/>
          <w:b w:val="false"/>
          <w:bCs w:val="false"/>
          <w:i w:val="false"/>
          <w:iCs w:val="false"/>
          <w:sz w:val="24"/>
          <w:szCs w:val="24"/>
        </w:rPr>
        <w:t xml:space="preserve">, ce qui implique un alignement au niveau métier et pas seulement technique. Troisièmement, elle opère avec un </w:t>
      </w:r>
      <w:r>
        <w:rPr>
          <w:rFonts w:ascii="Georgia" w:cs="Georgia" w:eastAsia="Georgia" w:hAnsi="Georgia"/>
          <w:b w:val="false"/>
          <w:bCs w:val="false"/>
          <w:i/>
          <w:iCs/>
          <w:sz w:val="24"/>
          <w:szCs w:val="24"/>
        </w:rPr>
        <w:t xml:space="preserve">minimum de friction</w:t>
      </w:r>
      <w:r>
        <w:rPr>
          <w:rFonts w:ascii="Georgia" w:cs="Georgia" w:eastAsia="Georgia" w:hAnsi="Georgia"/>
          <w:b w:val="false"/>
          <w:bCs w:val="false"/>
          <w:i w:val="false"/>
          <w:iCs w:val="false"/>
          <w:sz w:val="24"/>
          <w:szCs w:val="24"/>
        </w:rPr>
        <w:t xml:space="preserve">, reconnaissant que toute interopérabilité a un coût et que l'objectif est de minimiser ce coût marginal.</w:t>
      </w:r>
    </w:p>
    <w:p>
      <w:pPr>
        <w:pStyle w:val="Heading2"/>
      </w:pPr>
      <w:r>
        <w:rPr>
          <w:rFonts w:ascii="Arial" w:cs="Arial" w:eastAsia="Arial" w:hAnsi="Arial"/>
          <w:b/>
          <w:bCs/>
        </w:rPr>
        <w:t xml:space="preserve">I.2.2 La Distinction Fondamentale : Intégration vs. Interopérabilité</w:t>
      </w:r>
    </w:p>
    <w:p>
      <w:pPr>
        <w:pStyle w:val="Heading3"/>
      </w:pPr>
      <w:r>
        <w:rPr>
          <w:rFonts w:ascii="Arial" w:cs="Arial" w:eastAsia="Arial" w:hAnsi="Arial"/>
          <w:b/>
          <w:bCs/>
        </w:rPr>
        <w:t xml:space="preserve">I.2.2.1 Couplage Fort (Intégration) vs. Couplage Lâche (Interopérabilité)</w:t>
      </w:r>
    </w:p>
    <w:p>
      <w:pPr>
        <w:spacing w:after="200" w:line="276"/>
        <w:jc w:val="both"/>
      </w:pPr>
      <w:r>
        <w:rPr>
          <w:rFonts w:ascii="Georgia" w:cs="Georgia" w:eastAsia="Georgia" w:hAnsi="Georgia"/>
          <w:sz w:val="24"/>
          <w:szCs w:val="24"/>
        </w:rPr>
        <w:t xml:space="preserve">La distinction entre intégration et interopérabilité repose fondamentalement sur la nature du couplage entre systèmes. L'intégration crée un couplage fort : les systèmes intégrés deviennent mutuellement dépendants, leurs évolutions doivent être coordonnées, et la modification de l'un impacte directement les autres. L'interopérabilité vise un couplage lâche : les systèmes peuvent évoluer indépendamment tant qu'ils respectent des contrats d'interface stables.</w:t>
      </w:r>
    </w:p>
    <w:p>
      <w:pPr>
        <w:spacing w:after="200" w:line="276"/>
        <w:jc w:val="both"/>
      </w:pPr>
      <w:r>
        <w:rPr>
          <w:rFonts w:ascii="Georgia" w:cs="Georgia" w:eastAsia="Georgia" w:hAnsi="Georgia"/>
          <w:sz w:val="24"/>
          <w:szCs w:val="24"/>
        </w:rPr>
        <w:t xml:space="preserve">Cette différence de couplage a des conséquences architecturales profondes. Dans un modèle d'intégration, chaque nouvelle connexion augmente la complexité globale du système et réduit sa capacité d'évolution. Le graphe de dépendances devient de plus en plus dense, jusqu'à ce que toute modification devienne risquée. Dans un modèle d'interopérabilité, les systèmes interagissent via des interfaces bien définies ; l'ajout d'un nouveau système ne complexifie pas les systèmes existants.</w:t>
      </w:r>
    </w:p>
    <w:p>
      <w:pPr>
        <w:spacing w:after="200" w:line="276"/>
        <w:jc w:val="both"/>
      </w:pPr>
      <w:r>
        <w:rPr>
          <w:rFonts w:ascii="Georgia" w:cs="Georgia" w:eastAsia="Georgia" w:hAnsi="Georgia"/>
          <w:sz w:val="24"/>
          <w:szCs w:val="24"/>
        </w:rPr>
        <w:t xml:space="preserve">Prenons l'exemple concret d'une entreprise qui souhaite connecter son système de gestion des commandes à un nouveau prestataire logistique. L'approche d'intégration développerait une interface spécifique, avec des mappings de données ad hoc et une logique de transformation sur mesure. Cette interface serait optimale pour ce prestataire particulier, mais devrait être entièrement reconstruite pour un autre. L'approche d'interopérabilité exposerait les capacités du système de commandes via une API standardisée ; tout prestataire conforme au standard pourrait s'y connecter sans développement spécifique.</w:t>
      </w:r>
    </w:p>
    <w:p>
      <w:pPr>
        <w:pStyle w:val="Heading3"/>
      </w:pPr>
      <w:r>
        <w:rPr>
          <w:rFonts w:ascii="Arial" w:cs="Arial" w:eastAsia="Arial" w:hAnsi="Arial"/>
          <w:b/>
          <w:bCs/>
        </w:rPr>
        <w:t xml:space="preserve">I.2.2.2 Approche Tactique vs. Capacité Stratégique Durable</w:t>
      </w:r>
    </w:p>
    <w:p>
      <w:pPr>
        <w:spacing w:after="200" w:line="276"/>
        <w:jc w:val="both"/>
      </w:pPr>
      <w:r>
        <w:rPr>
          <w:rFonts w:ascii="Georgia" w:cs="Georgia" w:eastAsia="Georgia" w:hAnsi="Georgia"/>
          <w:sz w:val="24"/>
          <w:szCs w:val="24"/>
        </w:rPr>
        <w:t xml:space="preserve">L'intégration répond typiquement à des besoins tactiques : connecter deux systèmes pour répondre à une exigence métier immédiate. Elle est orientée projet, avec un périmètre défini, un budget alloué et une date de fin. Cette approche génère de la valeur rapidement mais accumule de la dette technique à chaque nouvelle connexion. Le coût marginal de chaque intégration reste constant, voire augmente avec la complexité croissante de l'environnement.</w:t>
      </w:r>
    </w:p>
    <w:p>
      <w:pPr>
        <w:spacing w:after="200" w:line="276"/>
        <w:jc w:val="both"/>
      </w:pPr>
      <w:r>
        <w:rPr>
          <w:rFonts w:ascii="Georgia" w:cs="Georgia" w:eastAsia="Georgia" w:hAnsi="Georgia"/>
          <w:sz w:val="24"/>
          <w:szCs w:val="24"/>
        </w:rPr>
        <w:t xml:space="preserve">L'interopérabilité constitue une capacité stratégique durable. Elle exige un investissement initial plus conséquent — définition de standards, mise en place de plateformes, développement de compétences — mais génère des rendements croissants. Chaque nouveau système interopérable enrichit l'écosystème sans le complexifier. Le coût marginal de chaque nouvelle connexion diminue à mesure que la plateforme d'interopérabilité mûrit.</w:t>
      </w:r>
    </w:p>
    <w:p>
      <w:pPr>
        <w:spacing w:after="200" w:line="276"/>
        <w:jc w:val="both"/>
      </w:pPr>
      <w:r>
        <w:rPr>
          <w:rFonts w:ascii="Georgia" w:cs="Georgia" w:eastAsia="Georgia" w:hAnsi="Georgia"/>
          <w:sz w:val="24"/>
          <w:szCs w:val="24"/>
        </w:rPr>
        <w:t xml:space="preserve">Cette distinction se traduit dans les indicateurs de performance. L'intégration mesure le succès en termes de projets livrés et de systèmes connectés. L'interopérabilité mesure le succès en termes de temps de connexion d'un nouveau système, de réutilisation des composants existants et d'autonomie des équipes. Une organisation mature en interopérabilité peut connecter un nouveau partenaire en quelques jours ; une organisation focalisée sur l'intégration nécessitera des mois de développement spécifique.</w:t>
      </w:r>
    </w:p>
    <w:p>
      <w:pPr>
        <w:spacing w:before="300" w:after="200"/>
      </w:pPr>
      <w:r>
        <w:rPr>
          <w:rFonts w:ascii="Arial" w:cs="Arial" w:eastAsia="Arial" w:hAnsi="Arial"/>
          <w:b/>
          <w:bCs/>
          <w:i/>
          <w:iCs/>
          <w:sz w:val="22"/>
          <w:szCs w:val="22"/>
        </w:rPr>
        <w:t xml:space="preserve">Tableau I.2.1 — Comparaison Intégration vs. Interopérabilité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8E8E8" w:val="clear"/>
            <w:tcMar>
              <w:top w:type="dxa" w:w="80"/>
              <w:left w:type="dxa" w:w="120"/>
              <w:bottom w:type="dxa" w:w="80"/>
              <w:right w:type="dxa" w:w="120"/>
            </w:tcMar>
          </w:tcPr>
          <w:p>
            <w:r>
              <w:rPr>
                <w:rFonts w:ascii="Arial" w:cs="Arial" w:eastAsia="Arial" w:hAnsi="Arial"/>
                <w:b/>
                <w:bCs/>
                <w:sz w:val="22"/>
                <w:szCs w:val="22"/>
              </w:rPr>
              <w:t xml:space="preserve">Dimension</w:t>
            </w:r>
          </w:p>
        </w:tc>
        <w:tc>
          <w:tcPr>
            <w:tcW w:type="dxa" w:w="3120"/>
            <w:shd w:fill="E8E8E8" w:val="clear"/>
            <w:tcMar>
              <w:top w:type="dxa" w:w="80"/>
              <w:left w:type="dxa" w:w="120"/>
              <w:bottom w:type="dxa" w:w="80"/>
              <w:right w:type="dxa" w:w="120"/>
            </w:tcMar>
          </w:tcPr>
          <w:p>
            <w:r>
              <w:rPr>
                <w:rFonts w:ascii="Arial" w:cs="Arial" w:eastAsia="Arial" w:hAnsi="Arial"/>
                <w:b/>
                <w:bCs/>
                <w:sz w:val="22"/>
                <w:szCs w:val="22"/>
              </w:rPr>
              <w:t xml:space="preserve">Intégration</w:t>
            </w:r>
          </w:p>
        </w:tc>
        <w:tc>
          <w:tcPr>
            <w:tcW w:type="dxa" w:w="3120"/>
            <w:shd w:fill="E8E8E8" w:val="clear"/>
            <w:tcMar>
              <w:top w:type="dxa" w:w="80"/>
              <w:left w:type="dxa" w:w="120"/>
              <w:bottom w:type="dxa" w:w="80"/>
              <w:right w:type="dxa" w:w="120"/>
            </w:tcMar>
          </w:tcPr>
          <w:p>
            <w:r>
              <w:rPr>
                <w:rFonts w:ascii="Arial" w:cs="Arial" w:eastAsia="Arial" w:hAnsi="Arial"/>
                <w:b/>
                <w:bCs/>
                <w:sz w:val="22"/>
                <w:szCs w:val="22"/>
              </w:rPr>
              <w:t xml:space="preserve">Interopérabilité</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Couplage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Fort, dépendances mutuelles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Lâche, interfaces stables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Horizon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Tactique, orienté projet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Stratégique, capacité durable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Coût marginal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Constant ou croissant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Décroissant avec la maturité</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Évolutivité</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Coordination obligatoire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Évolution indépendante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Indicateurs clés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Projets livrés, connexions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Temps de connexion, réutilisation</w:t>
            </w:r>
          </w:p>
        </w:tc>
      </w:tr>
    </w:tbl>
    <w:p>
      <w:pPr>
        <w:pStyle w:val="Heading2"/>
        <w:spacing w:before="400"/>
      </w:pPr>
      <w:r>
        <w:rPr>
          <w:rFonts w:ascii="Arial" w:cs="Arial" w:eastAsia="Arial" w:hAnsi="Arial"/>
          <w:b/>
          <w:bCs/>
        </w:rPr>
        <w:t xml:space="preserve">I.2.3 Les Dimensions Fondamentales de l'Interopérabilité</w:t>
      </w:r>
    </w:p>
    <w:p>
      <w:pPr>
        <w:pStyle w:val="Heading3"/>
      </w:pPr>
      <w:r>
        <w:rPr>
          <w:rFonts w:ascii="Arial" w:cs="Arial" w:eastAsia="Arial" w:hAnsi="Arial"/>
          <w:b/>
          <w:bCs/>
        </w:rPr>
        <w:t xml:space="preserve">I.2.3.1 Technique et Syntactique : Le Socle de la Communication</w:t>
      </w:r>
    </w:p>
    <w:p>
      <w:pPr>
        <w:spacing w:after="200" w:line="276"/>
        <w:jc w:val="both"/>
      </w:pPr>
      <w:r>
        <w:rPr>
          <w:rFonts w:ascii="Georgia" w:cs="Georgia" w:eastAsia="Georgia" w:hAnsi="Georgia"/>
          <w:sz w:val="24"/>
          <w:szCs w:val="24"/>
        </w:rPr>
        <w:t xml:space="preserve">La dimension technique de l'interopérabilité constitue le socle fondamental sans lequel aucun échange n'est possible. Elle concerne la capacité physique des systèmes à communiquer : protocoles réseau, formats de transport, mécanismes d'authentification. Cette couche, largement standardisée grâce à l'adoption universelle de la pile TCP/IP et du protocole HTTP, est aujourd'hui rarement le facteur limitant de l'interopérabilité.</w:t>
      </w:r>
    </w:p>
    <w:p>
      <w:pPr>
        <w:spacing w:after="200" w:line="276"/>
        <w:jc w:val="both"/>
      </w:pPr>
      <w:r>
        <w:rPr>
          <w:rFonts w:ascii="Georgia" w:cs="Georgia" w:eastAsia="Georgia" w:hAnsi="Georgia"/>
          <w:sz w:val="24"/>
          <w:szCs w:val="24"/>
        </w:rPr>
        <w:t xml:space="preserve">La dimension syntactique, étroitement liée, porte sur la structure des messages échangés. Elle garantit que les systèmes peuvent parser et sérialiser les données de manière compatible. Les formats comme JSON et XML ont considérablement simplifié cette dimension en fournissant des grammaires universelles. Les schémas (JSON Schema, XML Schema) permettent de valider la conformité des messages et de générer automatiquement du code de parsing.</w:t>
      </w:r>
    </w:p>
    <w:p>
      <w:pPr>
        <w:spacing w:after="200" w:line="276"/>
        <w:jc w:val="both"/>
      </w:pPr>
      <w:r>
        <w:rPr>
          <w:rFonts w:ascii="Georgia" w:cs="Georgia" w:eastAsia="Georgia" w:hAnsi="Georgia"/>
          <w:sz w:val="24"/>
          <w:szCs w:val="24"/>
        </w:rPr>
        <w:t xml:space="preserve">L'écosystème moderne dispose d'outils matures pour gérer ces dimensions. Les spécifications OpenAPI pour les API REST, AsyncAPI pour les événements asynchrones, et Protocol Buffers pour les communications haute performance fournissent des langages de description d'interface qui permettent de documenter, valider et générer du code client automatiquement. Le défi n'est plus technique mais organisationnel : s'assurer que ces standards sont adoptés de manière cohérente à travers l'entreprise.</w:t>
      </w:r>
    </w:p>
    <w:p>
      <w:pPr>
        <w:pStyle w:val="Heading3"/>
      </w:pPr>
      <w:r>
        <w:rPr>
          <w:rFonts w:ascii="Arial" w:cs="Arial" w:eastAsia="Arial" w:hAnsi="Arial"/>
          <w:b/>
          <w:bCs/>
        </w:rPr>
        <w:t xml:space="preserve">I.2.3.2 Sémantique : La Quête du Sens Partagé</w:t>
      </w:r>
    </w:p>
    <w:p>
      <w:pPr>
        <w:spacing w:after="200" w:line="276"/>
        <w:jc w:val="both"/>
      </w:pPr>
      <w:r>
        <w:rPr>
          <w:rFonts w:ascii="Georgia" w:cs="Georgia" w:eastAsia="Georgia" w:hAnsi="Georgia"/>
          <w:sz w:val="24"/>
          <w:szCs w:val="24"/>
        </w:rPr>
        <w:t xml:space="preserve">La dimension sémantique constitue le défi le plus complexe de l'interopérabilité. Elle porte sur la signification des données échangées : deux systèmes peuvent-ils interpréter les mêmes données de la même manière ? Un champ « client » dans un système CRM désigne-t-il la même réalité qu'un champ « customer » dans un système de facturation ? La réponse est rarement simple.</w:t>
      </w:r>
    </w:p>
    <w:p>
      <w:pPr>
        <w:spacing w:after="200" w:line="276"/>
        <w:jc w:val="both"/>
      </w:pPr>
      <w:r>
        <w:rPr>
          <w:rFonts w:ascii="Georgia" w:cs="Georgia" w:eastAsia="Georgia" w:hAnsi="Georgia"/>
          <w:sz w:val="24"/>
          <w:szCs w:val="24"/>
        </w:rPr>
        <w:t xml:space="preserve">Les approches traditionnelles de l'interopérabilité sémantique reposent sur la formalisation des concepts dans des ontologies. Une ontologie définit les concepts d'un domaine, leurs attributs et leurs relations. Le langage OWL (Web Ontology Language), issu du Web sémantique, permet d'exprimer des ontologies avec une rigueur logique permettant l'inférence automatisée. En théorie, des systèmes partageant la même ontologie peuvent interpréter les données de manière cohérente.</w:t>
      </w:r>
    </w:p>
    <w:p>
      <w:pPr>
        <w:spacing w:after="200" w:line="276"/>
        <w:jc w:val="both"/>
      </w:pPr>
      <w:r>
        <w:rPr>
          <w:rFonts w:ascii="Georgia" w:cs="Georgia" w:eastAsia="Georgia" w:hAnsi="Georgia"/>
          <w:sz w:val="24"/>
          <w:szCs w:val="24"/>
        </w:rPr>
        <w:t xml:space="preserve">En pratique, les ontologies formelles se heurtent à plusieurs obstacles. Leur création exige une expertise rare à l'intersection de la logique formelle et du domaine métier. Leur maintenance devient rapidement un fardeau lorsque les concepts évoluent. Et surtout, elles présupposent qu'il est possible de définir a priori un vocabulaire exhaustif et non ambigu — hypothèse que la complexité du monde réel dément constamment. Nous reviendrons sur ces limites et sur les solutions émergentes dans la troisième partie de ce volume.</w:t>
      </w:r>
    </w:p>
    <w:p>
      <w:pPr>
        <w:pStyle w:val="Heading3"/>
      </w:pPr>
      <w:r>
        <w:rPr>
          <w:rFonts w:ascii="Arial" w:cs="Arial" w:eastAsia="Arial" w:hAnsi="Arial"/>
          <w:b/>
          <w:bCs/>
        </w:rPr>
        <w:t xml:space="preserve">I.2.3.3 Organisationnelle et Pragmatique : L'Alignement des Processus</w:t>
      </w:r>
    </w:p>
    <w:p>
      <w:pPr>
        <w:spacing w:after="200" w:line="276"/>
        <w:jc w:val="both"/>
      </w:pPr>
      <w:r>
        <w:rPr>
          <w:rFonts w:ascii="Georgia" w:cs="Georgia" w:eastAsia="Georgia" w:hAnsi="Georgia"/>
          <w:sz w:val="24"/>
          <w:szCs w:val="24"/>
        </w:rPr>
        <w:t xml:space="preserve">L'interopérabilité organisationnelle reconnaît que les systèmes sont opérés par des humains, au sein de structures qui possèdent leurs propres logiques, leurs propres temporalités et leurs propres objectifs. Deux systèmes peuvent être parfaitement interopérables sur le plan technique et sémantique, mais rester incompatibles si les processus métier qu'ils supportent sont désalignés.</w:t>
      </w:r>
    </w:p>
    <w:p>
      <w:pPr>
        <w:spacing w:after="200" w:line="276"/>
        <w:jc w:val="both"/>
      </w:pPr>
      <w:r>
        <w:rPr>
          <w:rFonts w:ascii="Georgia" w:cs="Georgia" w:eastAsia="Georgia" w:hAnsi="Georgia"/>
          <w:sz w:val="24"/>
          <w:szCs w:val="24"/>
        </w:rPr>
        <w:t xml:space="preserve">Cette dimension englobe plusieurs aspects. L'alignement des processus garantit que les séquences d'activités supportées par différents systèmes sont compatibles. L'alignement des responsabilités clarifie qui décide, qui exécute et qui vérifie dans les processus transverses. L'alignement des temporalités synchronise les rythmes de mise à jour, les fenêtres de maintenance et les cycles de validation. L'alignement des incitations s'assure que les différentes parties prenantes ont intérêt à faire fonctionner l'interopérabilité.</w:t>
      </w:r>
    </w:p>
    <w:p>
      <w:pPr>
        <w:spacing w:after="200" w:line="276"/>
        <w:jc w:val="both"/>
      </w:pPr>
      <w:r>
        <w:rPr>
          <w:rFonts w:ascii="Georgia" w:cs="Georgia" w:eastAsia="Georgia" w:hAnsi="Georgia"/>
          <w:sz w:val="24"/>
          <w:szCs w:val="24"/>
        </w:rPr>
        <w:t xml:space="preserve">La dimension pragmatique, concept emprunté à la linguistique, porte sur l'usage effectif de l'interopérabilité en contexte. Au-delà de ce que les systèmes peuvent techniquement échanger, que signifie cet échange dans le contexte particulier d'une interaction donnée ? Un même message peut avoir des implications différentes selon le contexte — situation nominale ou exceptionnelle, premier contact ou relation établie, urgence ou routine. L'interopérabilité pragmatique vise à ce que ces nuances contextuelles soient correctement interprétées.</w:t>
      </w:r>
    </w:p>
    <w:p>
      <w:pPr>
        <w:pStyle w:val="Heading3"/>
      </w:pPr>
      <w:r>
        <w:rPr>
          <w:rFonts w:ascii="Arial" w:cs="Arial" w:eastAsia="Arial" w:hAnsi="Arial"/>
          <w:b/>
          <w:bCs/>
        </w:rPr>
        <w:t xml:space="preserve">I.2.3.4 Légale et de Gouvernance : Le Cadre de Confiance</w:t>
      </w:r>
    </w:p>
    <w:p>
      <w:pPr>
        <w:spacing w:after="200" w:line="276"/>
        <w:jc w:val="both"/>
      </w:pPr>
      <w:r>
        <w:rPr>
          <w:rFonts w:ascii="Georgia" w:cs="Georgia" w:eastAsia="Georgia" w:hAnsi="Georgia"/>
          <w:sz w:val="24"/>
          <w:szCs w:val="24"/>
        </w:rPr>
        <w:t xml:space="preserve">L'interopérabilité légale a pris une importance considérable avec la multiplication des réglementations sur les données. Le Règlement Général sur la Protection des Données (RGPD) en Europe, et ses équivalents ailleurs dans le monde, imposent des contraintes strictes sur les échanges de données personnelles. L'interopérabilité doit désormais intégrer dès sa conception les exigences de consentement, de minimisation, de portabilité et de traçabilité.</w:t>
      </w:r>
    </w:p>
    <w:p>
      <w:pPr>
        <w:spacing w:after="200" w:line="276"/>
        <w:jc w:val="both"/>
      </w:pPr>
      <w:r>
        <w:rPr>
          <w:rFonts w:ascii="Georgia" w:cs="Georgia" w:eastAsia="Georgia" w:hAnsi="Georgia"/>
          <w:sz w:val="24"/>
          <w:szCs w:val="24"/>
        </w:rPr>
        <w:t xml:space="preserve">Au-delà de la protection des données, d'autres cadres réglementaires impactent l'interopérabilité. Les réglementations sectorielles — bancaires, sanitaires, énergétiques — imposent des exigences spécifiques sur les échanges de données sensibles. Les réglementations sur l'intelligence artificielle, comme l'AI Act européen, ajoutent des contraintes sur l'explicabilité et l'auditabilité des systèmes automatisés. L'interopérabilité légale consiste à garantir que les échanges respectent l'ensemble de ces contraintes.</w:t>
      </w:r>
    </w:p>
    <w:p>
      <w:pPr>
        <w:spacing w:after="200" w:line="276"/>
        <w:jc w:val="both"/>
      </w:pPr>
      <w:r>
        <w:rPr>
          <w:rFonts w:ascii="Georgia" w:cs="Georgia" w:eastAsia="Georgia" w:hAnsi="Georgia"/>
          <w:sz w:val="24"/>
          <w:szCs w:val="24"/>
        </w:rPr>
        <w:t xml:space="preserve">La gouvernance de l'interopérabilité établit le cadre de confiance qui permet aux différentes parties de s'engager dans des échanges. Elle définit les rôles et responsabilités, les processus de décision, les mécanismes de résolution des conflits et les indicateurs de performance. Sans une gouvernance claire, l'interopérabilité reste un vœu pieux : chaque partie optimise son propre système sans considération pour l'écosystème. Nous développerons les principes de la gouvernance agentique dans la quatrième partie de ce volume.</w:t>
      </w:r>
    </w:p>
    <w:p>
      <w:pPr>
        <w:pStyle w:val="Heading2"/>
      </w:pPr>
      <w:r>
        <w:rPr>
          <w:rFonts w:ascii="Arial" w:cs="Arial" w:eastAsia="Arial" w:hAnsi="Arial"/>
          <w:b/>
          <w:bCs/>
        </w:rPr>
        <w:t xml:space="preserve">I.2.4 Conclusion : L'Interopérabilité comme Discipline d'Ingénierie Systémique</w:t>
      </w:r>
    </w:p>
    <w:p>
      <w:pPr>
        <w:spacing w:after="200" w:line="276"/>
        <w:jc w:val="both"/>
      </w:pPr>
      <w:r>
        <w:rPr>
          <w:rFonts w:ascii="Georgia" w:cs="Georgia" w:eastAsia="Georgia" w:hAnsi="Georgia"/>
          <w:sz w:val="24"/>
          <w:szCs w:val="24"/>
        </w:rPr>
        <w:t xml:space="preserve">Ce chapitre a établi les fondements conceptuels de l'interopérabilité, en la distinguant clairement de l'intégration traditionnelle. L'intégration connecte des systèmes pour des besoins spécifiques ; l'interopérabilité développe une capacité intrinsèque de collaboration. L'intégration crée du couplage et accumule de la dette ; l'interopérabilité préserve l'autonomie et génère des rendements croissants.</w:t>
      </w:r>
    </w:p>
    <w:p>
      <w:pPr>
        <w:spacing w:after="200" w:line="276"/>
        <w:jc w:val="both"/>
      </w:pPr>
      <w:r>
        <w:rPr>
          <w:rFonts w:ascii="Georgia" w:cs="Georgia" w:eastAsia="Georgia" w:hAnsi="Georgia"/>
          <w:sz w:val="24"/>
          <w:szCs w:val="24"/>
        </w:rPr>
        <w:t xml:space="preserve">Les quatre dimensions de l'interopérabilité — technique, sémantique, organisationnelle et légale — constituent un cadre d'analyse complet pour évaluer la maturité d'une organisation. Chaque dimension pose des défis spécifiques et exige des compétences distinctes. La dimension technique est aujourd'hui largement maîtrisée grâce aux standards établis. La dimension sémantique reste le défi le plus complexe, que l'intelligence artificielle promet de transformer. Les dimensions organisationnelle et légale requièrent une approche sociotechnique qui dépasse le cadre de l'architecture informatique traditionnelle.</w:t>
      </w:r>
    </w:p>
    <w:p>
      <w:pPr>
        <w:spacing w:after="200" w:line="276"/>
        <w:jc w:val="both"/>
      </w:pPr>
      <w:r>
        <w:rPr>
          <w:rFonts w:ascii="Georgia" w:cs="Georgia" w:eastAsia="Georgia" w:hAnsi="Georgia"/>
          <w:sz w:val="24"/>
          <w:szCs w:val="24"/>
        </w:rPr>
        <w:t xml:space="preserve">L'interopérabilité n'est pas un état final à atteindre, mais une discipline d'ingénierie systémique à pratiquer continuellement. Elle exige une vision architecturale qui transcende les frontières des projets et des systèmes, une gouvernance qui aligne les incitations des différentes parties prenantes, et une culture organisationnelle qui valorise la collaboration plutôt que l'optimisation locale. Le chapitre suivant examinera les cadres de référence et les modèles de maturité qui permettent de structurer cette démarche.</w:t>
      </w:r>
    </w:p>
    <w:p>
      <w:pPr>
        <w:pStyle w:val="Heading2"/>
      </w:pPr>
      <w:r>
        <w:rPr>
          <w:rFonts w:ascii="Arial" w:cs="Arial" w:eastAsia="Arial" w:hAnsi="Arial"/>
          <w:b/>
          <w:bCs/>
        </w:rPr>
        <w:t xml:space="preserve">I.2.5 Résumé</w:t>
      </w:r>
    </w:p>
    <w:p>
      <w:pPr>
        <w:spacing w:after="200" w:line="276"/>
        <w:jc w:val="both"/>
      </w:pPr>
      <w:r>
        <w:rPr>
          <w:rFonts w:ascii="Georgia" w:cs="Georgia" w:eastAsia="Georgia" w:hAnsi="Georgia"/>
          <w:sz w:val="24"/>
          <w:szCs w:val="24"/>
        </w:rPr>
        <w:t xml:space="preserve">L'interopérabilité se distingue fondamentalement de l'intégration par la nature du couplage qu'elle établit entre systèmes. Là où l'intégration crée des dépendances fortes et accumule de la dette technique, l'interopérabilité vise un couplage lâche qui préserve l'autonomie des systèmes et génère des rendements croissants à mesure que l'écosystème mûrit.</w:t>
      </w:r>
    </w:p>
    <w:p>
      <w:pPr>
        <w:spacing w:after="200" w:line="276"/>
        <w:jc w:val="both"/>
      </w:pPr>
      <w:r>
        <w:rPr>
          <w:rFonts w:ascii="Georgia" w:cs="Georgia" w:eastAsia="Georgia" w:hAnsi="Georgia"/>
          <w:sz w:val="24"/>
          <w:szCs w:val="24"/>
        </w:rPr>
        <w:t xml:space="preserve">Les quatre dimensions de l'interopérabilité forment un cadre d'analyse complet. La dimension technique et syntactique assure la connectivité de base. La dimension sémantique vise le partage du sens — défi que les approches traditionnelles peinent à relever et que l'intelligence artificielle transforme. La dimension organisationnelle aligne les processus, les responsabilités et les incitations. La dimension légale établit le cadre de confiance nécessaire aux échanges.</w:t>
      </w:r>
    </w:p>
    <w:p>
      <w:pPr>
        <w:spacing w:after="200" w:line="276"/>
        <w:jc w:val="both"/>
      </w:pPr>
      <w:r>
        <w:rPr>
          <w:rFonts w:ascii="Georgia" w:cs="Georgia" w:eastAsia="Georgia" w:hAnsi="Georgia"/>
          <w:sz w:val="24"/>
          <w:szCs w:val="24"/>
        </w:rPr>
        <w:t xml:space="preserve">L'interopérabilité constitue une discipline d'ingénierie systémique qui dépasse le cadre de l'architecture informatique pour englober des dimensions organisationnelles, juridiques et culturelles. Les cadres de référence et modèles de maturité, que nous examinerons dans le chapitre suivant, permettent de structurer cette démarche et d'en mesurer la progression.</w:t>
      </w:r>
    </w:p>
    <w:p>
      <w:r>
        <w:br w:type="page"/>
      </w:r>
    </w:p>
    <w:p>
      <w:pPr>
        <w:spacing w:before="600" w:after="200"/>
        <w:jc w:val="center"/>
      </w:pPr>
      <w:r>
        <w:rPr>
          <w:rFonts w:ascii="Georgia" w:cs="Georgia" w:eastAsia="Georgia" w:hAnsi="Georgia"/>
          <w:sz w:val="28"/>
          <w:szCs w:val="28"/>
        </w:rPr>
        <w:t xml:space="preserve">◆ ◆ ◆</w:t>
      </w:r>
    </w:p>
    <w:p>
      <w:pPr>
        <w:spacing w:after="200" w:line="276"/>
        <w:jc w:val="both"/>
      </w:pPr>
      <w:r>
        <w:rPr>
          <w:rFonts w:ascii="Georgia" w:cs="Georgia" w:eastAsia="Georgia" w:hAnsi="Georgia"/>
          <w:b w:val="false"/>
          <w:bCs w:val="false"/>
          <w:i/>
          <w:iCs/>
          <w:sz w:val="24"/>
          <w:szCs w:val="24"/>
        </w:rPr>
        <w:t xml:space="preserve">Le chapitre suivant, </w:t>
      </w:r>
      <w:r>
        <w:rPr>
          <w:rFonts w:ascii="Georgia" w:cs="Georgia" w:eastAsia="Georgia" w:hAnsi="Georgia"/>
          <w:b/>
          <w:bCs/>
          <w:i/>
          <w:iCs/>
          <w:sz w:val="24"/>
          <w:szCs w:val="24"/>
        </w:rPr>
        <w:t xml:space="preserve">Cadres de Référence, Standards et Modèles de Maturité</w:t>
      </w:r>
      <w:r>
        <w:rPr>
          <w:rFonts w:ascii="Georgia" w:cs="Georgia" w:eastAsia="Georgia" w:hAnsi="Georgia"/>
          <w:b w:val="false"/>
          <w:bCs w:val="false"/>
          <w:i/>
          <w:iCs/>
          <w:sz w:val="24"/>
          <w:szCs w:val="24"/>
        </w:rPr>
        <w:t xml:space="preserve">, présente les outils méthodologiques qui permettent de structurer la démarche d'interopérabilité. Du Cadre Européen d'Interopérabilité aux modèles LISI et LCIM, nous examinerons comment évaluer la maturité d'une organisation et planifier sa progression vers une interopérabilité cognitive capable de supporter l'entreprise agentique.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20"/>
        <w:szCs w:val="20"/>
      </w:rPr>
      <w:t xml:space="preserve">Partie 1 : La Crise de l'Intégration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1a"/>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a2a2a"/>
      <w:sz w:val="30"/>
      <w:szCs w:val="30"/>
    </w:rPr>
  </w:style>
  <w:style w:type="paragraph" w:styleId="Heading3">
    <w:name w:val="Heading 3"/>
    <w:basedOn w:val="Normal"/>
    <w:next w:val="Normal"/>
    <w:qFormat/>
    <w:pPr>
      <w:spacing w:before="280" w:after="140"/>
      <w:outlineLvl w:val="2"/>
    </w:pPr>
    <w:rPr>
      <w:rFonts w:ascii="Arial" w:cs="Arial" w:eastAsia="Arial" w:hAnsi="Arial"/>
      <w:b/>
      <w:bCs/>
      <w:color w:val="3a3a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2026-01-11T01:41:04.110Z</dcterms:created>
  <dcterms:modified xsi:type="dcterms:W3CDTF">2026-01-11T01:41:04.111Z</dcterms:modified>
</cp:coreProperties>
</file>

<file path=docProps/custom.xml><?xml version="1.0" encoding="utf-8"?>
<Properties xmlns="http://schemas.openxmlformats.org/officeDocument/2006/custom-properties" xmlns:vt="http://schemas.openxmlformats.org/officeDocument/2006/docPropsVTypes"/>
</file>