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666666"/>
          <w:sz w:val="28"/>
          <w:szCs w:val="28"/>
        </w:rPr>
        <w:t xml:space="preserve">CHAPITRE I.9</w:t>
      </w:r>
    </w:p>
    <w:p>
      <w:pPr>
        <w:pStyle w:val="Heading1"/>
        <w:spacing w:after="400"/>
        <w:jc w:val="center"/>
      </w:pPr>
      <w:r>
        <w:rPr>
          <w:rFonts w:ascii="Arial" w:cs="Arial" w:eastAsia="Arial" w:hAnsi="Arial"/>
          <w:b/>
          <w:bCs/>
          <w:sz w:val="36"/>
          <w:szCs w:val="36"/>
        </w:rPr>
        <w:t xml:space="preserve">Études de Cas Architecturales : Leçons des Géants du Numérique</w:t>
      </w:r>
    </w:p>
    <w:p>
      <w:pPr>
        <w:spacing w:before="200" w:after="400"/>
        <w:ind w:left="2880"/>
        <w:jc w:val="right"/>
      </w:pPr>
      <w:r>
        <w:rPr>
          <w:rFonts w:ascii="Georgia" w:cs="Georgia" w:eastAsia="Georgia" w:hAnsi="Georgia"/>
          <w:i/>
          <w:iCs/>
          <w:sz w:val="22"/>
          <w:szCs w:val="22"/>
        </w:rPr>
        <w:t xml:space="preserve">« Les bonnes architectures permettent de reporter les décisions importantes. »
— Robert C. Martin, Clean Architecture</w:t>
      </w:r>
    </w:p>
    <w:p>
      <w:pPr>
        <w:spacing w:after="200" w:line="276"/>
        <w:jc w:val="both"/>
      </w:pPr>
      <w:r>
        <w:rPr>
          <w:rFonts w:ascii="Georgia" w:cs="Georgia" w:eastAsia="Georgia" w:hAnsi="Georgia"/>
          <w:sz w:val="24"/>
          <w:szCs w:val="24"/>
        </w:rPr>
        <w:t xml:space="preserve">Les chapitres précédents ont présenté les principes, les technologies et les pratiques de l'architecture réactive. Mais les principes restent abstraits tant qu'ils ne sont pas confrontés à la réalité opérationnelle. Ce chapitre examine comment trois géants du numérique — Netflix, Uber et Amazon — ont construit des architectures événementielles à une échelle sans précédent. Leurs choix, leurs défis et leurs solutions offrent des leçons précieuses pour toute organisation engagée dans cette transformation.</w:t>
      </w:r>
    </w:p>
    <w:p>
      <w:pPr>
        <w:spacing w:after="200" w:line="276"/>
        <w:jc w:val="both"/>
      </w:pPr>
      <w:r>
        <w:rPr>
          <w:rFonts w:ascii="Georgia" w:cs="Georgia" w:eastAsia="Georgia" w:hAnsi="Georgia"/>
          <w:sz w:val="24"/>
          <w:szCs w:val="24"/>
        </w:rPr>
        <w:t xml:space="preserve">Ces études de cas ne sont pas des modèles à copier aveuglément. Chaque organisation opère dans un contexte unique — échelle, contraintes, historique, culture — qui façonne ses choix architecturaux. L'objectif est d'extraire les principes transférables et de comprendre les compromis qui sous-tendent chaque décision. Les leçons les plus précieuses viennent souvent des échecs autant que des succès.</w:t>
      </w:r>
    </w:p>
    <w:p>
      <w:pPr>
        <w:pStyle w:val="Heading2"/>
      </w:pPr>
      <w:r>
        <w:rPr>
          <w:rFonts w:ascii="Arial" w:cs="Arial" w:eastAsia="Arial" w:hAnsi="Arial"/>
          <w:b/>
          <w:bCs/>
        </w:rPr>
        <w:t xml:space="preserve">I.9.1 Netflix : L'Orchestration Événementielle à l'Échelle Planétaire</w:t>
      </w:r>
    </w:p>
    <w:p>
      <w:pPr>
        <w:spacing w:after="200" w:line="276"/>
        <w:jc w:val="both"/>
      </w:pPr>
      <w:r>
        <w:rPr>
          <w:rFonts w:ascii="Georgia" w:cs="Georgia" w:eastAsia="Georgia" w:hAnsi="Georgia"/>
          <w:sz w:val="24"/>
          <w:szCs w:val="24"/>
        </w:rPr>
        <w:t xml:space="preserve">Netflix constitue l'une des références mondiales en matière d'architecture distribuée. Avec plus de 230 millions d'abonnés dans 190 pays, la plateforme doit gérer des centaines de milliards d'événements quotidiens : lectures de vidéos, interactions utilisateurs, métriques de qualité, décisions de personnalisation. Cette échelle a poussé l'entreprise à innover constamment dans ses pratiques architecturales.</w:t>
      </w:r>
    </w:p>
    <w:p>
      <w:pPr>
        <w:pStyle w:val="Heading3"/>
      </w:pPr>
      <w:r>
        <w:rPr>
          <w:rFonts w:ascii="Arial" w:cs="Arial" w:eastAsia="Arial" w:hAnsi="Arial"/>
          <w:b/>
          <w:bCs/>
        </w:rPr>
        <w:t xml:space="preserve">Du Monolithe au Chaos Engineering</w:t>
      </w:r>
    </w:p>
    <w:p>
      <w:pPr>
        <w:spacing w:after="200" w:line="276"/>
        <w:jc w:val="both"/>
      </w:pPr>
      <w:r>
        <w:rPr>
          <w:rFonts w:ascii="Georgia" w:cs="Georgia" w:eastAsia="Georgia" w:hAnsi="Georgia"/>
          <w:sz w:val="24"/>
          <w:szCs w:val="24"/>
        </w:rPr>
        <w:t xml:space="preserve">L'histoire architecturale de Netflix commence par une crise. En 2008, une corruption de base de données a paralysé le service pendant trois jours. Cet incident a déclenché une transformation radicale : migration vers le cloud AWS, décomposition du monolithe en centaines de microservices, et adoption d'une architecture résiliente par conception. La philosophie « design for failure » est née de cette expérience traumatique.</w:t>
      </w:r>
    </w:p>
    <w:p>
      <w:pPr>
        <w:spacing w:after="200" w:line="276"/>
        <w:jc w:val="both"/>
      </w:pPr>
      <w:r>
        <w:rPr>
          <w:rFonts w:ascii="Georgia" w:cs="Georgia" w:eastAsia="Georgia" w:hAnsi="Georgia"/>
          <w:sz w:val="24"/>
          <w:szCs w:val="24"/>
        </w:rPr>
        <w:t xml:space="preserve">Netflix a développé le concept de Chaos Engineering — la pratique délibérée d'injecter des pannes en production pour valider la résilience du système. Chaos Monkey, leur outil emblématique, termine aléatoirement des instances de service pour s'assurer que le système survit aux défaillances individuelles. Chaos Kong simule la perte d'une région AWS entière. Cette approche contre-intuitive — casser volontairement ce qui fonctionne — a profondément influencé l'industrie.</w:t>
      </w:r>
    </w:p>
    <w:p>
      <w:pPr>
        <w:pStyle w:val="Heading3"/>
      </w:pPr>
      <w:r>
        <w:rPr>
          <w:rFonts w:ascii="Arial" w:cs="Arial" w:eastAsia="Arial" w:hAnsi="Arial"/>
          <w:b/>
          <w:bCs/>
        </w:rPr>
        <w:t xml:space="preserve">L'Architecture Événementielle de Netflix</w:t>
      </w:r>
    </w:p>
    <w:p>
      <w:pPr>
        <w:spacing w:after="200" w:line="276"/>
        <w:jc w:val="both"/>
      </w:pPr>
      <w:r>
        <w:rPr>
          <w:rFonts w:ascii="Georgia" w:cs="Georgia" w:eastAsia="Georgia" w:hAnsi="Georgia"/>
          <w:sz w:val="24"/>
          <w:szCs w:val="24"/>
        </w:rPr>
        <w:t xml:space="preserve">Apache Kafka occupe une position centrale dans l'architecture Netflix. La plateforme opère plusieurs clusters Kafka traitant des trillions de messages par jour. Chaque interaction utilisateur — lecture, pause, recherche, notation — génère des événements qui alimentent les systèmes de personnalisation, d'analytique et de qualité de service. Le découplage événementiel permet à ces systèmes d'évoluer indépendamment.</w:t>
      </w:r>
    </w:p>
    <w:p>
      <w:pPr>
        <w:spacing w:after="200" w:line="276"/>
        <w:jc w:val="both"/>
      </w:pPr>
      <w:r>
        <w:rPr>
          <w:rFonts w:ascii="Georgia" w:cs="Georgia" w:eastAsia="Georgia" w:hAnsi="Georgia"/>
          <w:sz w:val="24"/>
          <w:szCs w:val="24"/>
        </w:rPr>
        <w:t xml:space="preserve">Netflix a développé des outils propriétaires pour gérer Kafka à cette échelle. Keystone, leur pipeline de données en temps réel, route les événements vers les destinations appropriées avec des garanties de fiabilité. Mantis, leur plateforme de traitement de flux, permet d'analyser les événements en temps réel pour détecter les anomalies et optimiser l'expérience. Ces investissements illustrent que l'adoption de technologies open source n'exclut pas des développements significatifs pour les adapter aux besoins spécifiques.</w:t>
      </w:r>
    </w:p>
    <w:p>
      <w:pPr>
        <w:spacing w:after="200" w:line="276"/>
        <w:jc w:val="both"/>
      </w:pPr>
      <w:r>
        <w:rPr>
          <w:rFonts w:ascii="Georgia" w:cs="Georgia" w:eastAsia="Georgia" w:hAnsi="Georgia"/>
          <w:sz w:val="24"/>
          <w:szCs w:val="24"/>
        </w:rPr>
        <w:t xml:space="preserve">La personnalisation, cœur de la proposition de valeur Netflix, repose entièrement sur l'architecture événementielle. Chaque visionnage, chaque recherche, chaque seconde passée sur une vignette génère des événements qui affinent le profil utilisateur. Les algorithmes de recommandation consomment ces événements en quasi-temps réel pour adapter les suggestions. Sans cette architecture réactive, la personnalisation serait limitée à des mises à jour batch quotidiennes.</w:t>
      </w:r>
    </w:p>
    <w:p>
      <w:pPr>
        <w:pStyle w:val="Heading2"/>
      </w:pPr>
      <w:r>
        <w:rPr>
          <w:rFonts w:ascii="Arial" w:cs="Arial" w:eastAsia="Arial" w:hAnsi="Arial"/>
          <w:b/>
          <w:bCs/>
        </w:rPr>
        <w:t xml:space="preserve">I.9.2 Uber : La Logistique en Temps Réel comme Modèle d'Affaires</w:t>
      </w:r>
    </w:p>
    <w:p>
      <w:pPr>
        <w:spacing w:after="200" w:line="276"/>
        <w:jc w:val="both"/>
      </w:pPr>
      <w:r>
        <w:rPr>
          <w:rFonts w:ascii="Georgia" w:cs="Georgia" w:eastAsia="Georgia" w:hAnsi="Georgia"/>
          <w:sz w:val="24"/>
          <w:szCs w:val="24"/>
        </w:rPr>
        <w:t xml:space="preserve">Uber a bâti son empire sur la capacité à coordonner en temps réel des millions de chauffeurs et de passagers à travers le monde. Cette coordination exige une architecture capable de traiter des millions d'événements de géolocalisation par seconde, de calculer des routes optimales en millisecondes, et de réagir instantanément aux changements de conditions — trafic, météo, demande. L'architecture d'Uber est intrinsèquement événementielle.</w:t>
      </w:r>
    </w:p>
    <w:p>
      <w:pPr>
        <w:pStyle w:val="Heading3"/>
      </w:pPr>
      <w:r>
        <w:rPr>
          <w:rFonts w:ascii="Arial" w:cs="Arial" w:eastAsia="Arial" w:hAnsi="Arial"/>
          <w:b/>
          <w:bCs/>
        </w:rPr>
        <w:t xml:space="preserve">La Plateforme de Données en Temps Réel</w:t>
      </w:r>
    </w:p>
    <w:p>
      <w:pPr>
        <w:spacing w:after="200" w:line="276"/>
        <w:jc w:val="both"/>
      </w:pPr>
      <w:r>
        <w:rPr>
          <w:rFonts w:ascii="Georgia" w:cs="Georgia" w:eastAsia="Georgia" w:hAnsi="Georgia"/>
          <w:sz w:val="24"/>
          <w:szCs w:val="24"/>
        </w:rPr>
        <w:t xml:space="preserve">Uber a été l'un des premiers adoptants majeurs d'Apache Kafka, avant de développer des alternatives internes pour répondre à des besoins spécifiques. Leur plateforme de streaming traite plus de quatre trillions de messages par jour, avec des pics dépassant cinquante millions de messages par seconde. Ces volumes stupéfiants exigent des optimisations à tous les niveaux : réseau, stockage, sérialisation.</w:t>
      </w:r>
    </w:p>
    <w:p>
      <w:pPr>
        <w:spacing w:after="200" w:line="276"/>
        <w:jc w:val="both"/>
      </w:pPr>
      <w:r>
        <w:rPr>
          <w:rFonts w:ascii="Georgia" w:cs="Georgia" w:eastAsia="Georgia" w:hAnsi="Georgia"/>
          <w:sz w:val="24"/>
          <w:szCs w:val="24"/>
        </w:rPr>
        <w:t xml:space="preserve">Le matching entre chauffeurs et passagers illustre la puissance de l'approche événementielle. Chaque chauffeur émet sa position plusieurs fois par seconde. Chaque demande de course génère un événement. Le système de matching consomme ces flux en temps réel, calcule les affectations optimales en tenant compte de multiples facteurs — distance, temps estimé, préférences — et émet des événements d'assignation. Le tout en quelques centaines de millisecondes.</w:t>
      </w:r>
    </w:p>
    <w:p>
      <w:pPr>
        <w:pStyle w:val="Heading3"/>
      </w:pPr>
      <w:r>
        <w:rPr>
          <w:rFonts w:ascii="Arial" w:cs="Arial" w:eastAsia="Arial" w:hAnsi="Arial"/>
          <w:b/>
          <w:bCs/>
        </w:rPr>
        <w:t xml:space="preserve">Schemaless et l'Évolution des Données</w:t>
      </w:r>
    </w:p>
    <w:p>
      <w:pPr>
        <w:spacing w:after="200" w:line="276"/>
        <w:jc w:val="both"/>
      </w:pPr>
      <w:r>
        <w:rPr>
          <w:rFonts w:ascii="Georgia" w:cs="Georgia" w:eastAsia="Georgia" w:hAnsi="Georgia"/>
          <w:sz w:val="24"/>
          <w:szCs w:val="24"/>
        </w:rPr>
        <w:t xml:space="preserve">Face aux défis de l'évolution des schémas à grande échelle, Uber a développé Schemaless, un système de stockage qui tolère les changements de structure sans migration. Cette approche pragmatique reconnaît que dans un environnement de microservices avec des centaines d'équipes, imposer une coordination stricte des schémas est impraticable. Schemaless permet à chaque service d'évoluer à son rythme tout en préservant la lisibilité des données historiques.</w:t>
      </w:r>
    </w:p>
    <w:p>
      <w:pPr>
        <w:spacing w:after="200" w:line="276"/>
        <w:jc w:val="both"/>
      </w:pPr>
      <w:r>
        <w:rPr>
          <w:rFonts w:ascii="Georgia" w:cs="Georgia" w:eastAsia="Georgia" w:hAnsi="Georgia"/>
          <w:sz w:val="24"/>
          <w:szCs w:val="24"/>
        </w:rPr>
        <w:t xml:space="preserve">Uber a également investi massivement dans le lignage des données (data lineage). Databook, leur catalogue de données interne, trace l'origine et les transformations de chaque donnée à travers les systèmes. Cette traçabilité est essentielle pour la conformité réglementaire, le débogage des problèmes de qualité et la compréhension des impacts des changements. Dans un écosystème de milliers de flux de données, le lignage devient une capacité de survie.</w:t>
      </w:r>
    </w:p>
    <w:p>
      <w:pPr>
        <w:spacing w:after="200" w:line="276"/>
        <w:jc w:val="both"/>
      </w:pPr>
      <w:r>
        <w:rPr>
          <w:rFonts w:ascii="Georgia" w:cs="Georgia" w:eastAsia="Georgia" w:hAnsi="Georgia"/>
          <w:sz w:val="24"/>
          <w:szCs w:val="24"/>
        </w:rPr>
        <w:t xml:space="preserve">La tarification dynamique (surge pricing), controversée mais efficace, démontre l'usage stratégique des événements. Les événements de demande et d'offre dans chaque zone géographique alimentent des modèles qui ajustent les prix en temps réel. Cette réactivité permet d'équilibrer l'offre et la demande bien plus efficacement qu'un système batch qui découvrirait les déséquilibres après coup.</w:t>
      </w:r>
    </w:p>
    <w:p>
      <w:pPr>
        <w:pStyle w:val="Heading2"/>
      </w:pPr>
      <w:r>
        <w:rPr>
          <w:rFonts w:ascii="Arial" w:cs="Arial" w:eastAsia="Arial" w:hAnsi="Arial"/>
          <w:b/>
          <w:bCs/>
        </w:rPr>
        <w:t xml:space="preserve">I.9.3 Amazon/AWS : De la Nécessité Interne à la Plateforme Mondiale</w:t>
      </w:r>
    </w:p>
    <w:p>
      <w:pPr>
        <w:spacing w:after="200" w:line="276"/>
        <w:jc w:val="both"/>
      </w:pPr>
      <w:r>
        <w:rPr>
          <w:rFonts w:ascii="Georgia" w:cs="Georgia" w:eastAsia="Georgia" w:hAnsi="Georgia"/>
          <w:sz w:val="24"/>
          <w:szCs w:val="24"/>
        </w:rPr>
        <w:t xml:space="preserve">Amazon représente un cas unique où les défis d'intégration interne ont engendré une industrie entière. Les problèmes de coordination entre équipes dans les années 2000 ont conduit au fameux mémo de Jeff Bezos imposant les API comme seul mode de communication. Cette contrainte, initialement perçue comme draconienne, a créé les fondations d'Amazon Web Services et transformé l'industrie du cloud computing.</w:t>
      </w:r>
    </w:p>
    <w:p>
      <w:pPr>
        <w:pStyle w:val="Heading3"/>
      </w:pPr>
      <w:r>
        <w:rPr>
          <w:rFonts w:ascii="Arial" w:cs="Arial" w:eastAsia="Arial" w:hAnsi="Arial"/>
          <w:b/>
          <w:bCs/>
        </w:rPr>
        <w:t xml:space="preserve">L'Architecture Orientée Services d'Amazon</w:t>
      </w:r>
    </w:p>
    <w:p>
      <w:pPr>
        <w:spacing w:after="200" w:line="276"/>
        <w:jc w:val="both"/>
      </w:pPr>
      <w:r>
        <w:rPr>
          <w:rFonts w:ascii="Georgia" w:cs="Georgia" w:eastAsia="Georgia" w:hAnsi="Georgia"/>
          <w:sz w:val="24"/>
          <w:szCs w:val="24"/>
        </w:rPr>
        <w:t xml:space="preserve">Amazon opère des milliers de services internes qui collaborent pour servir chaque requête client. Une simple page produit sur amazon.com implique des appels à des dizaines de services : catalogue, prix, inventaire, recommandations, avis, personnalisation. Cette décomposition extrême permet à des centaines d'équipes de déployer indépendamment, plusieurs fois par jour, sans coordination centralisée.</w:t>
      </w:r>
    </w:p>
    <w:p>
      <w:pPr>
        <w:spacing w:after="200" w:line="276"/>
        <w:jc w:val="both"/>
      </w:pPr>
      <w:r>
        <w:rPr>
          <w:rFonts w:ascii="Georgia" w:cs="Georgia" w:eastAsia="Georgia" w:hAnsi="Georgia"/>
          <w:sz w:val="24"/>
          <w:szCs w:val="24"/>
        </w:rPr>
        <w:t xml:space="preserve">Le concept de « two-pizza teams » — des équipes suffisamment petites pour être nourries par deux pizzas — reflète cette philosophie de découplage organisationnel. Chaque équipe possède ses services de bout en bout : développement, déploiement, opérations. Les API constituent le contrat entre équipes ; tant que le contrat est respecté, chaque équipe est souveraine sur ses choix d'implémentation.</w:t>
      </w:r>
    </w:p>
    <w:p>
      <w:pPr>
        <w:pStyle w:val="Heading3"/>
      </w:pPr>
      <w:r>
        <w:rPr>
          <w:rFonts w:ascii="Arial" w:cs="Arial" w:eastAsia="Arial" w:hAnsi="Arial"/>
          <w:b/>
          <w:bCs/>
        </w:rPr>
        <w:t xml:space="preserve">EventBridge et l'Événementiel Managé</w:t>
      </w:r>
    </w:p>
    <w:p>
      <w:pPr>
        <w:spacing w:after="200" w:line="276"/>
        <w:jc w:val="both"/>
      </w:pPr>
      <w:r>
        <w:rPr>
          <w:rFonts w:ascii="Georgia" w:cs="Georgia" w:eastAsia="Georgia" w:hAnsi="Georgia"/>
          <w:sz w:val="24"/>
          <w:szCs w:val="24"/>
        </w:rPr>
        <w:t xml:space="preserve">Amazon EventBridge, service AWS lancé en 2019, incarne la vision d'Amazon pour l'architecture événementielle. Il offre un bus d'événements serverless qui connecte les applications, les services AWS et les applications SaaS tierces. Les règles de routage permettent de filtrer et transformer les événements sans code. Schema Registry découvre et stocke automatiquement les schémas des événements.</w:t>
      </w:r>
    </w:p>
    <w:p>
      <w:pPr>
        <w:spacing w:after="200" w:line="276"/>
        <w:jc w:val="both"/>
      </w:pPr>
      <w:r>
        <w:rPr>
          <w:rFonts w:ascii="Georgia" w:cs="Georgia" w:eastAsia="Georgia" w:hAnsi="Georgia"/>
          <w:sz w:val="24"/>
          <w:szCs w:val="24"/>
        </w:rPr>
        <w:t xml:space="preserve">L'intégration native avec l'écosystème AWS illustre la puissance des plateformes. Un événement S3 (fichier déposé) peut déclencher une fonction Lambda, qui produit un événement vers EventBridge, qui active un workflow Step Functions, qui orchestre des services multiples. Cette composition déclarative de services événementiels démocratise des patterns auparavant réservés aux ingénieries sophistiquées.</w:t>
      </w:r>
    </w:p>
    <w:p>
      <w:pPr>
        <w:spacing w:after="200" w:line="276"/>
        <w:jc w:val="both"/>
      </w:pPr>
      <w:r>
        <w:rPr>
          <w:rFonts w:ascii="Georgia" w:cs="Georgia" w:eastAsia="Georgia" w:hAnsi="Georgia"/>
          <w:sz w:val="24"/>
          <w:szCs w:val="24"/>
        </w:rPr>
        <w:t xml:space="preserve">Amazon Kinesis, l'alternative AWS à Kafka, traite les flux de données à grande échelle pour des cas d'usage comme l'analytique temps réel, l'ingestion IoT et la réplication de données. La coexistence de Kinesis et EventBridge reflète la diversité des besoins : Kinesis pour le streaming haute performance, EventBridge pour l'intégration événementielle à couplage lâche.</w:t>
      </w:r>
    </w:p>
    <w:p>
      <w:pPr>
        <w:pStyle w:val="Heading2"/>
      </w:pPr>
      <w:r>
        <w:rPr>
          <w:rFonts w:ascii="Arial" w:cs="Arial" w:eastAsia="Arial" w:hAnsi="Arial"/>
          <w:b/>
          <w:bCs/>
        </w:rPr>
        <w:t xml:space="preserve">I.9.4 Synthèse Comparative et Principes Directeurs</w:t>
      </w:r>
    </w:p>
    <w:p>
      <w:pPr>
        <w:spacing w:before="200" w:after="200"/>
      </w:pPr>
      <w:r>
        <w:rPr>
          <w:rFonts w:ascii="Arial" w:cs="Arial" w:eastAsia="Arial" w:hAnsi="Arial"/>
          <w:b/>
          <w:bCs/>
          <w:i/>
          <w:iCs/>
          <w:sz w:val="22"/>
          <w:szCs w:val="22"/>
        </w:rPr>
        <w:t xml:space="preserve">Tableau I.9.1 — Comparaison des Architectures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9"/>
                <w:szCs w:val="19"/>
              </w:rPr>
              <w:t xml:space="preserve">Dimension</w:t>
            </w:r>
          </w:p>
        </w:tc>
        <w:tc>
          <w:tcPr>
            <w:tcW w:type="dxa" w:w="23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9"/>
                <w:szCs w:val="19"/>
              </w:rPr>
              <w:t xml:space="preserve">Netflix</w:t>
            </w:r>
          </w:p>
        </w:tc>
        <w:tc>
          <w:tcPr>
            <w:tcW w:type="dxa" w:w="23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9"/>
                <w:szCs w:val="19"/>
              </w:rPr>
              <w:t xml:space="preserve">Uber</w:t>
            </w:r>
          </w:p>
        </w:tc>
        <w:tc>
          <w:tcPr>
            <w:tcW w:type="dxa" w:w="23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9"/>
                <w:szCs w:val="19"/>
              </w:rPr>
              <w:t xml:space="preserve">Amazon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Échelle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230M abonnés, trillions msg/jour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Millions courses/jour, 4T msg/jour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Milliards requêtes/jour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Plateforme événementielle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Kafka + outils propriétaires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Kafka + alternatives internes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Kinesis + EventBridge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Cas d'usage critique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Personnalisation temps réel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Matching chauffeur-passager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Orchestration de services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Innovation clé</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Chaos Engineering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Géolocalisation massive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API-first, serverless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Philosophie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Design for failure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Real-time first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Service ownership</w:t>
            </w:r>
          </w:p>
        </w:tc>
      </w:tr>
    </w:tbl>
    <w:p>
      <w:pPr>
        <w:spacing w:before="300"/>
      </w:pPr>
    </w:p>
    <w:p>
      <w:pPr>
        <w:spacing w:after="200" w:line="276"/>
        <w:jc w:val="both"/>
      </w:pPr>
      <w:r>
        <w:rPr>
          <w:rFonts w:ascii="Georgia" w:cs="Georgia" w:eastAsia="Georgia" w:hAnsi="Georgia"/>
          <w:sz w:val="24"/>
          <w:szCs w:val="24"/>
        </w:rPr>
        <w:t xml:space="preserve">Plusieurs principes transversaux émergent de ces études de cas. Le premier est l'investissement massif dans l'infrastructure événementielle. Ces organisations n'ont pas simplement adopté Kafka ; elles ont construit des écosystèmes complets autour — outils de monitoring, plateformes de traitement, systèmes de gouvernance. L'infrastructure événementielle est traitée comme un actif stratégique, pas comme un simple composant technique.</w:t>
      </w:r>
    </w:p>
    <w:p>
      <w:pPr>
        <w:spacing w:after="200" w:line="276"/>
        <w:jc w:val="both"/>
      </w:pPr>
      <w:r>
        <w:rPr>
          <w:rFonts w:ascii="Georgia" w:cs="Georgia" w:eastAsia="Georgia" w:hAnsi="Georgia"/>
          <w:sz w:val="24"/>
          <w:szCs w:val="24"/>
        </w:rPr>
        <w:t xml:space="preserve">Le deuxième principe est l'autonomie des équipes. Le découplage événementiel n'est pas qu'une question technique ; il permet une organisation où des centaines d'équipes innovent en parallèle. Les API et les événements constituent les contrats qui permettent cette autonomie. La gouvernance se concentre sur les interfaces plutôt que sur les implémentations.</w:t>
      </w:r>
    </w:p>
    <w:p>
      <w:pPr>
        <w:spacing w:after="200" w:line="276"/>
        <w:jc w:val="both"/>
      </w:pPr>
      <w:r>
        <w:rPr>
          <w:rFonts w:ascii="Georgia" w:cs="Georgia" w:eastAsia="Georgia" w:hAnsi="Georgia"/>
          <w:sz w:val="24"/>
          <w:szCs w:val="24"/>
        </w:rPr>
        <w:t xml:space="preserve">Le troisième principe est l'obsession de la résilience. Ces systèmes doivent fonctionner en permanence, malgré les pannes inévitables. Le Chaos Engineering de Netflix, la redondance géographique d'Uber, l'architecture multi-région d'AWS témoignent de cette priorité. La résilience n'est pas une fonctionnalité ajoutée mais une propriété architecturale fondamentale.</w:t>
      </w:r>
    </w:p>
    <w:p>
      <w:pPr>
        <w:spacing w:after="200" w:line="276"/>
        <w:jc w:val="both"/>
      </w:pPr>
      <w:r>
        <w:rPr>
          <w:rFonts w:ascii="Georgia" w:cs="Georgia" w:eastAsia="Georgia" w:hAnsi="Georgia"/>
          <w:sz w:val="24"/>
          <w:szCs w:val="24"/>
        </w:rPr>
        <w:t xml:space="preserve">Le quatrième principe est l'évolution continue. Aucune de ces architectures n'est figée ; elles évoluent constamment pour répondre aux nouveaux besoins et intégrer les nouvelles technologies. La capacité d'évolution est elle-même une exigence architecturale. Les systèmes sont conçus pour être modifiés, pas pour être définitifs.</w:t>
      </w:r>
    </w:p>
    <w:p>
      <w:pPr>
        <w:pStyle w:val="Heading2"/>
      </w:pPr>
      <w:r>
        <w:rPr>
          <w:rFonts w:ascii="Arial" w:cs="Arial" w:eastAsia="Arial" w:hAnsi="Arial"/>
          <w:b/>
          <w:bCs/>
        </w:rPr>
        <w:t xml:space="preserve">I.9.5 Conclusion : S'Inspirer des Meilleures Pratiques</w:t>
      </w:r>
    </w:p>
    <w:p>
      <w:pPr>
        <w:spacing w:after="200" w:line="276"/>
        <w:jc w:val="both"/>
      </w:pPr>
      <w:r>
        <w:rPr>
          <w:rFonts w:ascii="Georgia" w:cs="Georgia" w:eastAsia="Georgia" w:hAnsi="Georgia"/>
          <w:sz w:val="24"/>
          <w:szCs w:val="24"/>
        </w:rPr>
        <w:t xml:space="preserve">Les géants du numérique ont défriché le terrain de l'architecture événementielle à une échelle que peu d'organisations atteindront. Mais les principes qu'ils ont découverts — découplage, résilience, autonomie, évolution — s'appliquent à toutes les échelles. Une entreprise de taille moyenne peut bénéficier du Chaos Engineering même si ses volumes sont mille fois inférieurs à ceux de Netflix.</w:t>
      </w:r>
    </w:p>
    <w:p>
      <w:pPr>
        <w:spacing w:after="200" w:line="276"/>
        <w:jc w:val="both"/>
      </w:pPr>
      <w:r>
        <w:rPr>
          <w:rFonts w:ascii="Georgia" w:cs="Georgia" w:eastAsia="Georgia" w:hAnsi="Georgia"/>
          <w:sz w:val="24"/>
          <w:szCs w:val="24"/>
        </w:rPr>
        <w:t xml:space="preserve">L'écart entre ces géants et les entreprises traditionnelles se réduit grâce aux services managés. Confluent Cloud offre Kafka sans la complexité opérationnelle. AWS et Google Cloud fournissent des briques événementielles prêtes à l'emploi. L'investissement nécessaire n'est plus dans l'infrastructure elle-même mais dans les compétences pour l'exploiter et dans l'adaptation des processus organisationnels.</w:t>
      </w:r>
    </w:p>
    <w:p>
      <w:pPr>
        <w:spacing w:after="200" w:line="276"/>
        <w:jc w:val="both"/>
      </w:pPr>
      <w:r>
        <w:rPr>
          <w:rFonts w:ascii="Georgia" w:cs="Georgia" w:eastAsia="Georgia" w:hAnsi="Georgia"/>
          <w:sz w:val="24"/>
          <w:szCs w:val="24"/>
        </w:rPr>
        <w:t xml:space="preserve">Ce chapitre clôt la deuxième partie consacrée à l'architecture réactive et son écosystème. Nous avons établi les fondations techniques — API, événements, contrats, infrastructure, observabilité — sur lesquelles l'entreprise agentique pourra se construire. La troisième partie explorera comment l'intelligence artificielle transforme l'interopérabilité, ouvrant la voie à des systèmes capables de comprendre et d'adapter dynamiquement leurs interactions.</w:t>
      </w:r>
    </w:p>
    <w:p>
      <w:pPr>
        <w:pStyle w:val="Heading2"/>
      </w:pPr>
      <w:r>
        <w:rPr>
          <w:rFonts w:ascii="Arial" w:cs="Arial" w:eastAsia="Arial" w:hAnsi="Arial"/>
          <w:b/>
          <w:bCs/>
        </w:rPr>
        <w:t xml:space="preserve">I.9.6 Résumé</w:t>
      </w:r>
    </w:p>
    <w:p>
      <w:pPr>
        <w:spacing w:after="200" w:line="276"/>
        <w:jc w:val="both"/>
      </w:pPr>
      <w:r>
        <w:rPr>
          <w:rFonts w:ascii="Georgia" w:cs="Georgia" w:eastAsia="Georgia" w:hAnsi="Georgia"/>
          <w:sz w:val="24"/>
          <w:szCs w:val="24"/>
        </w:rPr>
        <w:t xml:space="preserve">Netflix a développé le Chaos Engineering et une infrastructure Kafka traitant des trillions de messages pour alimenter sa personnalisation temps réel. Leur philosophie « design for failure » a influencé l'industrie entière. Uber coordonne des millions de chauffeurs et passagers grâce à une architecture événementielle traitant quatre trillions de messages quotidiens, avec des innovations comme Schemaless pour gérer l'évolution des données.</w:t>
      </w:r>
    </w:p>
    <w:p>
      <w:pPr>
        <w:spacing w:after="200" w:line="276"/>
        <w:jc w:val="both"/>
      </w:pPr>
      <w:r>
        <w:rPr>
          <w:rFonts w:ascii="Georgia" w:cs="Georgia" w:eastAsia="Georgia" w:hAnsi="Georgia"/>
          <w:sz w:val="24"/>
          <w:szCs w:val="24"/>
        </w:rPr>
        <w:t xml:space="preserve">Amazon a transformé ses défis d'intégration interne en Amazon Web Services. L'architecture orientée services avec des « two-pizza teams » autonomes, combinée à des services comme EventBridge et Kinesis, incarne leur vision de l'événementiel managé. Les principes transversaux — investissement dans l'infrastructure, autonomie des équipes, obsession de la résilience, évolution continue — sont transférables à toute organisation.</w:t>
      </w:r>
    </w:p>
    <w:p>
      <w:r>
        <w:br w:type="page"/>
      </w:r>
    </w:p>
    <w:p>
      <w:pPr>
        <w:spacing w:before="400" w:after="300"/>
        <w:jc w:val="center"/>
      </w:pPr>
      <w:r>
        <w:rPr>
          <w:rFonts w:ascii="Arial" w:cs="Arial" w:eastAsia="Arial" w:hAnsi="Arial"/>
          <w:b/>
          <w:bCs/>
          <w:color w:val="444444"/>
          <w:sz w:val="32"/>
          <w:szCs w:val="32"/>
        </w:rPr>
        <w:t xml:space="preserve">FIN DE LA PARTIE 2</w:t>
      </w:r>
    </w:p>
    <w:p>
      <w:pPr>
        <w:spacing w:after="400"/>
        <w:jc w:val="center"/>
      </w:pPr>
      <w:r>
        <w:rPr>
          <w:rFonts w:ascii="Georgia" w:cs="Georgia" w:eastAsia="Georgia" w:hAnsi="Georgia"/>
          <w:sz w:val="28"/>
          <w:szCs w:val="28"/>
        </w:rPr>
        <w:t xml:space="preserve">◆ ◆ ◆</w:t>
      </w:r>
    </w:p>
    <w:p>
      <w:pPr>
        <w:spacing w:after="200" w:line="276"/>
        <w:jc w:val="both"/>
      </w:pPr>
      <w:r>
        <w:rPr>
          <w:rFonts w:ascii="Georgia" w:cs="Georgia" w:eastAsia="Georgia" w:hAnsi="Georgia"/>
          <w:b w:val="false"/>
          <w:bCs w:val="false"/>
          <w:i/>
          <w:iCs/>
          <w:sz w:val="24"/>
          <w:szCs w:val="24"/>
        </w:rPr>
        <w:t xml:space="preserve">La deuxième partie a établi les fondations techniques de l'architecture réactive : écosystème API, architecture orientée événements avec Apache Kafka et Confluent, contrats de données, infrastructure cloud-native, observabilité et sécurité Zéro Confiance. Les études de cas de Netflix, Uber et Amazon ont illustré ces principes à l'échelle planétaire.</w:t>
      </w:r>
    </w:p>
    <w:p>
      <w:pPr>
        <w:spacing w:after="200"/>
      </w:pPr>
    </w:p>
    <w:p>
      <w:pPr>
        <w:spacing w:after="200" w:line="276"/>
        <w:jc w:val="both"/>
      </w:pPr>
      <w:r>
        <w:rPr>
          <w:rFonts w:ascii="Georgia" w:cs="Georgia" w:eastAsia="Georgia" w:hAnsi="Georgia"/>
          <w:b w:val="false"/>
          <w:bCs w:val="false"/>
          <w:i/>
          <w:iCs/>
          <w:sz w:val="24"/>
          <w:szCs w:val="24"/>
        </w:rPr>
        <w:t xml:space="preserve">La troisième partie, </w:t>
      </w:r>
      <w:r>
        <w:rPr>
          <w:rFonts w:ascii="Georgia" w:cs="Georgia" w:eastAsia="Georgia" w:hAnsi="Georgia"/>
          <w:b/>
          <w:bCs/>
          <w:i/>
          <w:iCs/>
          <w:sz w:val="24"/>
          <w:szCs w:val="24"/>
        </w:rPr>
        <w:t xml:space="preserve">Interopérabilité Cognitive et Adaptative</w:t>
      </w:r>
      <w:r>
        <w:rPr>
          <w:rFonts w:ascii="Georgia" w:cs="Georgia" w:eastAsia="Georgia" w:hAnsi="Georgia"/>
          <w:b w:val="false"/>
          <w:bCs w:val="false"/>
          <w:i/>
          <w:iCs/>
          <w:sz w:val="24"/>
          <w:szCs w:val="24"/>
        </w:rPr>
        <w:t xml:space="preserve">, franchit une nouvelle frontière. Nous y explorerons les limites de l'interopérabilité sémantique traditionnelle et montrerons comment l'intelligence artificielle — et particulièrement les grands modèles de langage — transforme fondamentalement notre approche de l'interopérabilité. Le concept d'interopérabilité cognitivo-adaptative posera les bases conceptuelles de l'entreprise agentique.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t xml:space="preserve">Page </w:t>
    </w: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20"/>
        <w:szCs w:val="20"/>
      </w:rPr>
      <w:t xml:space="preserve">Partie 2 : Architecture Réactive et Écosystème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1a"/>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2a2a2a"/>
      <w:sz w:val="30"/>
      <w:szCs w:val="30"/>
    </w:rPr>
  </w:style>
  <w:style w:type="paragraph" w:styleId="Heading3">
    <w:name w:val="Heading 3"/>
    <w:basedOn w:val="Normal"/>
    <w:next w:val="Normal"/>
    <w:qFormat/>
    <w:pPr>
      <w:spacing w:before="280" w:after="140"/>
      <w:outlineLvl w:val="2"/>
    </w:pPr>
    <w:rPr>
      <w:rFonts w:ascii="Arial" w:cs="Arial" w:eastAsia="Arial" w:hAnsi="Arial"/>
      <w:b/>
      <w:bCs/>
      <w:color w:val="3a3a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2026-01-11T02:23:18.997Z</dcterms:created>
  <dcterms:modified xsi:type="dcterms:W3CDTF">2026-01-11T02:23:18.997Z</dcterms:modified>
</cp:coreProperties>
</file>

<file path=docProps/custom.xml><?xml version="1.0" encoding="utf-8"?>
<Properties xmlns="http://schemas.openxmlformats.org/officeDocument/2006/custom-properties" xmlns:vt="http://schemas.openxmlformats.org/officeDocument/2006/docPropsVTypes"/>
</file>