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444444"/>
          <w:sz w:val="32"/>
          <w:szCs w:val="32"/>
        </w:rPr>
        <w:t xml:space="preserve">PARTIE 3</w:t>
      </w:r>
    </w:p>
    <w:p>
      <w:pPr>
        <w:spacing w:after="600"/>
        <w:jc w:val="center"/>
      </w:pPr>
      <w:r>
        <w:rPr>
          <w:rFonts w:ascii="Arial" w:cs="Arial" w:eastAsia="Arial" w:hAnsi="Arial"/>
          <w:b/>
          <w:bCs/>
          <w:color w:val="666666"/>
          <w:sz w:val="28"/>
          <w:szCs w:val="28"/>
        </w:rPr>
        <w:t xml:space="preserve">Interopérabilité Cognitive et Adaptative</w:t>
      </w:r>
    </w:p>
    <w:p>
      <w:pPr>
        <w:spacing w:after="80"/>
        <w:jc w:val="center"/>
      </w:pPr>
      <w:r>
        <w:rPr>
          <w:rFonts w:ascii="Arial" w:cs="Arial" w:eastAsia="Arial" w:hAnsi="Arial"/>
          <w:b/>
          <w:bCs/>
          <w:color w:val="666666"/>
          <w:sz w:val="28"/>
          <w:szCs w:val="28"/>
        </w:rPr>
        <w:t xml:space="preserve">CHAPITRE I.10</w:t>
      </w:r>
    </w:p>
    <w:p>
      <w:pPr>
        <w:pStyle w:val="Heading1"/>
        <w:spacing w:after="400"/>
        <w:jc w:val="center"/>
      </w:pPr>
      <w:r>
        <w:rPr>
          <w:rFonts w:ascii="Arial" w:cs="Arial" w:eastAsia="Arial" w:hAnsi="Arial"/>
          <w:b/>
          <w:bCs/>
          <w:sz w:val="36"/>
          <w:szCs w:val="36"/>
        </w:rPr>
        <w:t xml:space="preserve">Limites de l'Interopérabilité Sémantique Traditionnelle</w:t>
      </w:r>
    </w:p>
    <w:p>
      <w:pPr>
        <w:spacing w:before="200" w:after="400"/>
        <w:ind w:left="2880"/>
        <w:jc w:val="right"/>
      </w:pPr>
      <w:r>
        <w:rPr>
          <w:rFonts w:ascii="Georgia" w:cs="Georgia" w:eastAsia="Georgia" w:hAnsi="Georgia"/>
          <w:i/>
          <w:iCs/>
          <w:sz w:val="22"/>
          <w:szCs w:val="22"/>
        </w:rPr>
        <w:t xml:space="preserve">« Le sens d'un mot est son usage dans le langage. »
— Ludwig Wittgenstein, Investigations philosophiques</w:t>
      </w:r>
    </w:p>
    <w:p>
      <w:pPr>
        <w:spacing w:after="200" w:line="276"/>
        <w:jc w:val="both"/>
      </w:pPr>
      <w:r>
        <w:rPr>
          <w:rFonts w:ascii="Georgia" w:cs="Georgia" w:eastAsia="Georgia" w:hAnsi="Georgia"/>
          <w:sz w:val="24"/>
          <w:szCs w:val="24"/>
        </w:rPr>
        <w:t xml:space="preserve">Les deux premières parties de ce volume ont établi les fondations de l'architecture réactive : les principes de l'interopérabilité, l'écosystème API, l'architecture événementielle, les contrats de données. Ces fondations techniques sont nécessaires mais insuffisantes. Elles permettent aux systèmes d'échanger des bits et des structures de données ; elles ne garantissent pas qu'ils se comprennent. Cette troisième partie aborde le défi de l'interopérabilité sémantique — la capacité des systèmes à partager le sens des informations échangées — et explore comment l'intelligence artificielle transforme notre approche de ce défi.</w:t>
      </w:r>
    </w:p>
    <w:p>
      <w:pPr>
        <w:spacing w:after="200" w:line="276"/>
        <w:jc w:val="both"/>
      </w:pPr>
      <w:r>
        <w:rPr>
          <w:rFonts w:ascii="Georgia" w:cs="Georgia" w:eastAsia="Georgia" w:hAnsi="Georgia"/>
          <w:sz w:val="24"/>
          <w:szCs w:val="24"/>
        </w:rPr>
        <w:t xml:space="preserve">Ce chapitre examine les limites des approches traditionnelles de l'interopérabilité sémantique. Nous analyserons d'abord le rôle et les limites des ontologies formelles qui ont dominé ce domaine pendant deux décennies. Nous explorerons ensuite les défis de la gestion des données de référence (MDM) et le fossé sémantique qui persiste malgré ces efforts. Nous montrerons enfin comment la rigidité des modèles canoniques entre en conflit avec la dynamique métier des organisations modernes.</w:t>
      </w:r>
    </w:p>
    <w:p>
      <w:pPr>
        <w:pStyle w:val="Heading2"/>
      </w:pPr>
      <w:r>
        <w:rPr>
          <w:rFonts w:ascii="Arial" w:cs="Arial" w:eastAsia="Arial" w:hAnsi="Arial"/>
          <w:b/>
          <w:bCs/>
        </w:rPr>
        <w:t xml:space="preserve">I.10.1 Le Rôle et les Limites des Ontologies Formelles (RDF, OWL)</w:t>
      </w:r>
    </w:p>
    <w:p>
      <w:pPr>
        <w:spacing w:after="200" w:line="276"/>
        <w:jc w:val="both"/>
      </w:pPr>
      <w:r>
        <w:rPr>
          <w:rFonts w:ascii="Georgia" w:cs="Georgia" w:eastAsia="Georgia" w:hAnsi="Georgia"/>
          <w:sz w:val="24"/>
          <w:szCs w:val="24"/>
        </w:rPr>
        <w:t xml:space="preserve">Les ontologies formelles représentent l'approche académique classique de l'interopérabilité sémantique. Une ontologie définit formellement les concepts d'un domaine, leurs propriétés et leurs relations. Le Web Sémantique, vision portée par Tim Berners-Lee au début des années 2000, ambitionnait de tisser une toile de données interconnectées où les machines pourraient raisonner sur le sens, pas seulement sur la syntaxe.</w:t>
      </w:r>
    </w:p>
    <w:p>
      <w:pPr>
        <w:spacing w:after="200" w:line="276"/>
        <w:jc w:val="both"/>
      </w:pPr>
      <w:r>
        <w:rPr>
          <w:rFonts w:ascii="Georgia" w:cs="Georgia" w:eastAsia="Georgia" w:hAnsi="Georgia"/>
          <w:sz w:val="24"/>
          <w:szCs w:val="24"/>
        </w:rPr>
        <w:t xml:space="preserve">Les standards du W3C ont concrétisé cette vision. RDF (Resource Description Framework) fournit un modèle de données basé sur des triplets sujet-prédicat-objet : « Paris est-la-capitale-de France ». RDFS (RDF Schema) permet de définir des classes et des hiérarchies. OWL (Web Ontology Language) ajoute des capacités de raisonnement logique : inférence, classification automatique, détection d'incohérences. SPARQL permet d'interroger ces bases de connaissances. L'édifice théorique est impressionnant.</w:t>
      </w:r>
    </w:p>
    <w:p>
      <w:pPr>
        <w:spacing w:after="200" w:line="276"/>
        <w:jc w:val="both"/>
      </w:pPr>
      <w:r>
        <w:rPr>
          <w:rFonts w:ascii="Georgia" w:cs="Georgia" w:eastAsia="Georgia" w:hAnsi="Georgia"/>
          <w:sz w:val="24"/>
          <w:szCs w:val="24"/>
        </w:rPr>
        <w:t xml:space="preserve">Certains domaines ont effectivement bénéficié des ontologies. En sciences de la vie, Gene Ontology structure les connaissances sur les gènes et leurs fonctions, permettant l'interopérabilité entre bases de données biologiques. En médecine, SNOMED CT normalise la terminologie clinique à travers les systèmes de santé. Ces succès partagent une caractéristique : des domaines relativement stables, avec des communautés scientifiques investies dans la normalisation à long terme.</w:t>
      </w:r>
    </w:p>
    <w:p>
      <w:pPr>
        <w:spacing w:after="200" w:line="276"/>
        <w:jc w:val="both"/>
      </w:pPr>
      <w:r>
        <w:rPr>
          <w:rFonts w:ascii="Georgia" w:cs="Georgia" w:eastAsia="Georgia" w:hAnsi="Georgia"/>
          <w:sz w:val="24"/>
          <w:szCs w:val="24"/>
        </w:rPr>
        <w:t xml:space="preserve">Mais les limites apparaissent dès qu'on tente d'appliquer ces approches aux systèmes d'information d'entreprise. La création d'une ontologie de qualité exige un effort considérable d'analyse, de modélisation et de consensus. Les ontologistes — experts capables de formaliser les connaissances d'un domaine — sont rares et coûteux. Une fois créée, l'ontologie doit être maintenue à mesure que le domaine évolue. Cette maintenance est souvent négligée, et l'ontologie diverge progressivement de la réalité qu'elle prétend représenter.</w:t>
      </w:r>
    </w:p>
    <w:p>
      <w:pPr>
        <w:spacing w:after="200" w:line="276"/>
        <w:jc w:val="both"/>
      </w:pPr>
      <w:r>
        <w:rPr>
          <w:rFonts w:ascii="Georgia" w:cs="Georgia" w:eastAsia="Georgia" w:hAnsi="Georgia"/>
          <w:sz w:val="24"/>
          <w:szCs w:val="24"/>
        </w:rPr>
        <w:t xml:space="preserve">Le problème fondamental est l'hypothèse du « monde clos » implicite dans la plupart des déploiements ontologiques. L'ontologie suppose que tous les concepts pertinents ont été identifiés et formalisés. Or, dans un environnement d'affaires dynamique, de nouveaux concepts émergent constamment : nouveaux produits, nouveaux processus, nouvelles réglementations. Chaque nouveauté exige une mise à jour de l'ontologie, créant un goulet d'étranglement incompatible avec l'agilité requise.</w:t>
      </w:r>
    </w:p>
    <w:p>
      <w:pPr>
        <w:pStyle w:val="Heading2"/>
      </w:pPr>
      <w:r>
        <w:rPr>
          <w:rFonts w:ascii="Arial" w:cs="Arial" w:eastAsia="Arial" w:hAnsi="Arial"/>
          <w:b/>
          <w:bCs/>
        </w:rPr>
        <w:t xml:space="preserve">I.10.2 Les Défis de la Gestion des Données de Référence (MDM)</w:t>
      </w:r>
    </w:p>
    <w:p>
      <w:pPr>
        <w:spacing w:after="200" w:line="276"/>
        <w:jc w:val="both"/>
      </w:pPr>
      <w:r>
        <w:rPr>
          <w:rFonts w:ascii="Georgia" w:cs="Georgia" w:eastAsia="Georgia" w:hAnsi="Georgia"/>
          <w:sz w:val="24"/>
          <w:szCs w:val="24"/>
        </w:rPr>
        <w:t xml:space="preserve">La gestion des données de référence (Master Data Management ou MDM) constitue l'approche pragmatique de l'industrie pour l'interopérabilité sémantique. Plutôt que de formaliser tous les concepts d'un domaine, le MDM se concentre sur les entités partagées critiques : clients, produits, fournisseurs, employés, comptes. L'objectif est de créer une « version unique de la vérité » (single version of truth) pour ces entités maîtresses, que tous les systèmes référencent.</w:t>
      </w:r>
    </w:p>
    <w:p>
      <w:pPr>
        <w:spacing w:after="200" w:line="276"/>
        <w:jc w:val="both"/>
      </w:pPr>
      <w:r>
        <w:rPr>
          <w:rFonts w:ascii="Georgia" w:cs="Georgia" w:eastAsia="Georgia" w:hAnsi="Georgia"/>
          <w:sz w:val="24"/>
          <w:szCs w:val="24"/>
        </w:rPr>
        <w:t xml:space="preserve">Les projets MDM ont proliféré dans les grandes organisations depuis les années 2000. Les éditeurs — Informatica, IBM, SAP, Talend — ont développé des plateformes sophistiquées de consolidation, de dédoublonnage et de gouvernance. Les budgets engagés se chiffrent souvent en millions. Les promesses sont séduisantes : données cohérentes, vue client unifiée, conformité réglementaire simplifiée.</w:t>
      </w:r>
    </w:p>
    <w:p>
      <w:pPr>
        <w:spacing w:after="200" w:line="276"/>
        <w:jc w:val="both"/>
      </w:pPr>
      <w:r>
        <w:rPr>
          <w:rFonts w:ascii="Georgia" w:cs="Georgia" w:eastAsia="Georgia" w:hAnsi="Georgia"/>
          <w:sz w:val="24"/>
          <w:szCs w:val="24"/>
        </w:rPr>
        <w:t xml:space="preserve">La réalité des déploiements MDM est plus nuancée. Une étude de Gartner estimait que plus de 50 % des projets MDM échouent à atteindre leurs objectifs. Les causes d'échec sont multiples. La sous-estimation de la complexité organisationnelle : définir qui est « propriétaire » d'une donnée client déclenche des conflits politiques entre départements. La rigidité des modèles : le schéma « golden record » ne peut pas capturer la richesse des variations locales. L'obsolescence progressive : les règles de matching et de fusion se dégradent à mesure que les données évoluent.</w:t>
      </w:r>
    </w:p>
    <w:p>
      <w:pPr>
        <w:spacing w:after="200" w:line="276"/>
        <w:jc w:val="both"/>
      </w:pPr>
      <w:r>
        <w:rPr>
          <w:rFonts w:ascii="Georgia" w:cs="Georgia" w:eastAsia="Georgia" w:hAnsi="Georgia"/>
          <w:sz w:val="24"/>
          <w:szCs w:val="24"/>
        </w:rPr>
        <w:t xml:space="preserve">Le défi fondamental du MDM est la tension entre centralisation et autonomie. Pour créer une version unique de la vérité, le MDM impose des standards centraux. Mais les systèmes opérationnels ont des besoins spécifiques que ces standards ne capturent pas. Un système CRM a besoin d'informations sur le client que le système de facturation ignore. Un système de support a besoin de l'historique des interactions. Le « golden record » central devient un dénominateur commun qui ne satisfait pleinement personne.</w:t>
      </w:r>
    </w:p>
    <w:p>
      <w:pPr>
        <w:spacing w:after="200" w:line="276"/>
        <w:jc w:val="both"/>
      </w:pPr>
      <w:r>
        <w:rPr>
          <w:rFonts w:ascii="Georgia" w:cs="Georgia" w:eastAsia="Georgia" w:hAnsi="Georgia"/>
          <w:sz w:val="24"/>
          <w:szCs w:val="24"/>
        </w:rPr>
        <w:t xml:space="preserve">Le Data Mesh, présenté au chapitre I.7, propose une alternative : plutôt qu'un référentiel central, des produits de données distribués avec des contrats explicites. Cette approche préserve l'autonomie des domaines tout en permettant l'interopérabilité via les contrats. Mais elle ne résout pas le problème sémantique fondamental : comment s'assurer que le « client » du domaine commercial et le « client » du domaine logistique désignent la même réalité ?</w:t>
      </w:r>
    </w:p>
    <w:p>
      <w:pPr>
        <w:pStyle w:val="Heading2"/>
      </w:pPr>
      <w:r>
        <w:rPr>
          <w:rFonts w:ascii="Arial" w:cs="Arial" w:eastAsia="Arial" w:hAnsi="Arial"/>
          <w:b/>
          <w:bCs/>
        </w:rPr>
        <w:t xml:space="preserve">I.10.3 Le Fossé Sémantique : Quand le Contexte Dépasse la Définition</w:t>
      </w:r>
    </w:p>
    <w:p>
      <w:pPr>
        <w:spacing w:after="200" w:line="276"/>
        <w:jc w:val="both"/>
      </w:pPr>
      <w:r>
        <w:rPr>
          <w:rFonts w:ascii="Georgia" w:cs="Georgia" w:eastAsia="Georgia" w:hAnsi="Georgia"/>
          <w:sz w:val="24"/>
          <w:szCs w:val="24"/>
        </w:rPr>
        <w:t xml:space="preserve">Le fossé sémantique (semantic gap) désigne l'écart entre la représentation formelle d'un concept et sa signification réelle en contexte. Une définition peut être syntaxiquement précise tout en manquant l'essentiel de ce que le concept signifie pour ses utilisateurs. Ce fossé constitue la limite fondamentale des approches formelles de l'interopérabilité sémantique.</w:t>
      </w:r>
    </w:p>
    <w:p>
      <w:pPr>
        <w:spacing w:after="200" w:line="276"/>
        <w:jc w:val="both"/>
      </w:pPr>
      <w:r>
        <w:rPr>
          <w:rFonts w:ascii="Georgia" w:cs="Georgia" w:eastAsia="Georgia" w:hAnsi="Georgia"/>
          <w:sz w:val="24"/>
          <w:szCs w:val="24"/>
        </w:rPr>
        <w:t xml:space="preserve">Considérons un exemple apparemment simple : le concept de « commande ». Une ontologie peut définir une commande comme une entité avec un identifiant, une date, un client, des lignes de produits et un montant. Cette définition est techniquement correcte. Mais elle ne capture pas que pour le service commercial, une commande est une promesse de revenu ; pour la logistique, une obligation de livraison ; pour la finance, une créance à recouvrer ; pour le service client, un engagement à honorer. Le même mot recouvre des réalités opérationnelles distinctes.</w:t>
      </w:r>
    </w:p>
    <w:p>
      <w:pPr>
        <w:spacing w:after="200" w:line="276"/>
        <w:jc w:val="both"/>
      </w:pPr>
      <w:r>
        <w:rPr>
          <w:rFonts w:ascii="Georgia" w:cs="Georgia" w:eastAsia="Georgia" w:hAnsi="Georgia"/>
          <w:sz w:val="24"/>
          <w:szCs w:val="24"/>
        </w:rPr>
        <w:t xml:space="preserve">Le philosophe Ludwig Wittgenstein a montré que le sens d'un mot n'est pas une essence fixe mais son usage dans des « jeux de langage » particuliers. Chaque communauté de pratique développe ses propres conventions, ses propres nuances, ses propres sous-entendus. Ces conventions sont rarement explicites ; elles s'acquièrent par l'immersion dans la pratique. Aucune ontologie ne peut capturer cette richesse contextuelle.</w:t>
      </w:r>
    </w:p>
    <w:p>
      <w:pPr>
        <w:spacing w:after="200" w:line="276"/>
        <w:jc w:val="both"/>
      </w:pPr>
      <w:r>
        <w:rPr>
          <w:rFonts w:ascii="Georgia" w:cs="Georgia" w:eastAsia="Georgia" w:hAnsi="Georgia"/>
          <w:sz w:val="24"/>
          <w:szCs w:val="24"/>
        </w:rPr>
        <w:t xml:space="preserve">Les homonymies et les polysémies amplifient le problème. « Client » peut désigner une personne physique, une entreprise, un compte, une relation contractuelle. « Produit » peut être un bien physique, un service, une licence, un abonnement. Les systèmes d'information multiplient ces ambiguïtés car ils reflètent l'histoire sédimentée de l'organisation : chaque système a été conçu dans un contexte particulier avec ses propres conventions.</w:t>
      </w:r>
    </w:p>
    <w:p>
      <w:pPr>
        <w:spacing w:after="200" w:line="276"/>
        <w:jc w:val="both"/>
      </w:pPr>
      <w:r>
        <w:rPr>
          <w:rFonts w:ascii="Georgia" w:cs="Georgia" w:eastAsia="Georgia" w:hAnsi="Georgia"/>
          <w:sz w:val="24"/>
          <w:szCs w:val="24"/>
        </w:rPr>
        <w:t xml:space="preserve">Le fossé sémantique explique pourquoi les mappings entre systèmes sont si fragiles. Un mapping définit une correspondance entre les concepts de deux systèmes : « Client.nom dans système A correspond à Customer.fullName dans système B ». Mais cette correspondance suppose que les deux champs ont la même signification. Si système A stocke le nom légal et système B le nom commercial, le mapping est techniquement correct mais sémantiquement erroné. Ces erreurs subtiles sont difficiles à détecter et causent des problèmes en aval.</w:t>
      </w:r>
    </w:p>
    <w:p>
      <w:pPr>
        <w:pStyle w:val="Heading2"/>
      </w:pPr>
      <w:r>
        <w:rPr>
          <w:rFonts w:ascii="Arial" w:cs="Arial" w:eastAsia="Arial" w:hAnsi="Arial"/>
          <w:b/>
          <w:bCs/>
        </w:rPr>
        <w:t xml:space="preserve">I.10.4 La Rigidité des Modèles Canoniques face à la Dynamique Métier</w:t>
      </w:r>
    </w:p>
    <w:p>
      <w:pPr>
        <w:spacing w:after="200" w:line="276"/>
        <w:jc w:val="both"/>
      </w:pPr>
      <w:r>
        <w:rPr>
          <w:rFonts w:ascii="Georgia" w:cs="Georgia" w:eastAsia="Georgia" w:hAnsi="Georgia"/>
          <w:sz w:val="24"/>
          <w:szCs w:val="24"/>
        </w:rPr>
        <w:t xml:space="preserve">Face à la prolifération des formats et des modèles de données, une réponse classique est le modèle canonique : un format pivot commun vers lequel tous les systèmes transforment leurs données avant échange. En théorie, le modèle canonique réduit la complexité des mappings de n² (chaque système vers chaque autre) à 2n (chaque système vers et depuis le canonique).</w:t>
      </w:r>
    </w:p>
    <w:p>
      <w:pPr>
        <w:spacing w:after="200" w:line="276"/>
        <w:jc w:val="both"/>
      </w:pPr>
      <w:r>
        <w:rPr>
          <w:rFonts w:ascii="Georgia" w:cs="Georgia" w:eastAsia="Georgia" w:hAnsi="Georgia"/>
          <w:sz w:val="24"/>
          <w:szCs w:val="24"/>
        </w:rPr>
        <w:t xml:space="preserve">En pratique, le modèle canonique devient souvent une source de rigidité. Pour être universel, il doit capturer tous les cas d'usage de tous les systèmes — une tâche impossible. Le compromis habituel est un modèle « assez général » qui ne satisfait pleinement personne. Les équipes contournent le modèle en ajoutant des champs d'extension non standardisés, érodant progressivement sa valeur.</w:t>
      </w:r>
    </w:p>
    <w:p>
      <w:pPr>
        <w:spacing w:after="200" w:line="276"/>
        <w:jc w:val="both"/>
      </w:pPr>
      <w:r>
        <w:rPr>
          <w:rFonts w:ascii="Georgia" w:cs="Georgia" w:eastAsia="Georgia" w:hAnsi="Georgia"/>
          <w:sz w:val="24"/>
          <w:szCs w:val="24"/>
        </w:rPr>
        <w:t xml:space="preserve">L'évolution du modèle canonique est particulièrement problématique. Chaque changement affecte potentiellement tous les systèmes connectés. Les comités de gouvernance, créés pour maîtriser cette complexité, deviennent des goulets d'étranglement où les demandes de modification s'accumulent pendant des mois. Les équipes, pressées par les délais projet, développent des solutions de contournement qui créent une dette technique croissante.</w:t>
      </w:r>
    </w:p>
    <w:p>
      <w:pPr>
        <w:spacing w:after="200" w:line="276"/>
        <w:jc w:val="both"/>
      </w:pPr>
      <w:r>
        <w:rPr>
          <w:rFonts w:ascii="Georgia" w:cs="Georgia" w:eastAsia="Georgia" w:hAnsi="Georgia"/>
          <w:sz w:val="24"/>
          <w:szCs w:val="24"/>
        </w:rPr>
        <w:t xml:space="preserve">Le pattern Enterprise Service Bus (ESB), dominant dans les années 2000, incarnait cette approche canonique. L'ESB centralisait les transformations et les routages, avec des modèles canoniques au cœur des échanges. Les limites de ce pattern — complexité croissante, goulet d'étranglement, couplage caché — ont motivé le mouvement vers les microservices et l'architecture événementielle. Mais le problème sémantique n'a pas disparu ; il s'est distribué.</w:t>
      </w:r>
    </w:p>
    <w:p>
      <w:pPr>
        <w:spacing w:before="300" w:after="200"/>
      </w:pPr>
      <w:r>
        <w:rPr>
          <w:rFonts w:ascii="Arial" w:cs="Arial" w:eastAsia="Arial" w:hAnsi="Arial"/>
          <w:b/>
          <w:bCs/>
          <w:i/>
          <w:iCs/>
          <w:sz w:val="22"/>
          <w:szCs w:val="22"/>
        </w:rPr>
        <w:t xml:space="preserve">Tableau I.10.1 — Limites des Approches Sémantiques Traditionnelles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Approche</w:t>
            </w:r>
          </w:p>
        </w:tc>
        <w:tc>
          <w:tcPr>
            <w:tcW w:type="dxa" w:w="32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Promesse</w:t>
            </w:r>
          </w:p>
        </w:tc>
        <w:tc>
          <w:tcPr>
            <w:tcW w:type="dxa" w:w="32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Limite fondamentale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Ontologies formelles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Raisonnement automatisé sur le sens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Coût de création et maintenance, monde clos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MDM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 unique de la vérité</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Tension centralisation/autonomie, rigidité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Mappings explicites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Correspondances précises entre systèmes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Fragilité, fossé sémantique non détecté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Modèles canoniques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Réduction de complexité n² → 2n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Universalité impossible, goulet d'étranglement</w:t>
            </w:r>
          </w:p>
        </w:tc>
      </w:tr>
    </w:tbl>
    <w:p>
      <w:pPr>
        <w:pStyle w:val="Heading2"/>
        <w:spacing w:before="400"/>
      </w:pPr>
      <w:r>
        <w:rPr>
          <w:rFonts w:ascii="Arial" w:cs="Arial" w:eastAsia="Arial" w:hAnsi="Arial"/>
          <w:b/>
          <w:bCs/>
        </w:rPr>
        <w:t xml:space="preserve">I.10.5 Conclusion : Le Besoin d'une Interopérabilité Adaptative</w:t>
      </w:r>
    </w:p>
    <w:p>
      <w:pPr>
        <w:spacing w:after="200" w:line="276"/>
        <w:jc w:val="both"/>
      </w:pPr>
      <w:r>
        <w:rPr>
          <w:rFonts w:ascii="Georgia" w:cs="Georgia" w:eastAsia="Georgia" w:hAnsi="Georgia"/>
          <w:sz w:val="24"/>
          <w:szCs w:val="24"/>
        </w:rPr>
        <w:t xml:space="preserve">Les approches traditionnelles de l'interopérabilité sémantique partagent une hypothèse commune : le sens peut être capturé dans des structures formelles explicites — ontologies, schémas, mappings — définies à l'avance. Cette hypothèse est valide pour des domaines stables et bien délimités. Elle s'effondre face à la complexité, la dynamique et l'ambiguïté des systèmes d'information d'entreprise modernes.</w:t>
      </w:r>
    </w:p>
    <w:p>
      <w:pPr>
        <w:spacing w:after="200" w:line="276"/>
        <w:jc w:val="both"/>
      </w:pPr>
      <w:r>
        <w:rPr>
          <w:rFonts w:ascii="Georgia" w:cs="Georgia" w:eastAsia="Georgia" w:hAnsi="Georgia"/>
          <w:sz w:val="24"/>
          <w:szCs w:val="24"/>
        </w:rPr>
        <w:t xml:space="preserve">Le fossé sémantique ne peut pas être comblé par plus de formalisation. Le sens est contextuel, évolutif, distribué dans les pratiques des communautés qui utilisent les données. Aucun modèle statique ne peut capturer cette richesse. Ce constat n'est pas un aveu d'échec mais une invitation à repenser l'approche.</w:t>
      </w:r>
    </w:p>
    <w:p>
      <w:pPr>
        <w:spacing w:after="200" w:line="276"/>
        <w:jc w:val="both"/>
      </w:pPr>
      <w:r>
        <w:rPr>
          <w:rFonts w:ascii="Georgia" w:cs="Georgia" w:eastAsia="Georgia" w:hAnsi="Georgia"/>
          <w:sz w:val="24"/>
          <w:szCs w:val="24"/>
        </w:rPr>
        <w:t xml:space="preserve">L'intelligence artificielle, et particulièrement les grands modèles de langage, ouvre une voie nouvelle. Ces modèles ont été entraînés sur des corpus massifs de textes qui capturent implicitement les usages contextuels des mots. Ils peuvent inférer des correspondances sémantiques sans mappings explicites, interpréter des données dans leur contexte, et s'adapter dynamiquement à de nouveaux domaines. Le chapitre suivant explore comment cette capacité transforme notre approche de l'interopérabilité.</w:t>
      </w:r>
    </w:p>
    <w:p>
      <w:pPr>
        <w:pStyle w:val="Heading2"/>
      </w:pPr>
      <w:r>
        <w:rPr>
          <w:rFonts w:ascii="Arial" w:cs="Arial" w:eastAsia="Arial" w:hAnsi="Arial"/>
          <w:b/>
          <w:bCs/>
        </w:rPr>
        <w:t xml:space="preserve">I.10.6 Résumé</w:t>
      </w:r>
    </w:p>
    <w:p>
      <w:pPr>
        <w:spacing w:after="200" w:line="276"/>
        <w:jc w:val="both"/>
      </w:pPr>
      <w:r>
        <w:rPr>
          <w:rFonts w:ascii="Georgia" w:cs="Georgia" w:eastAsia="Georgia" w:hAnsi="Georgia"/>
          <w:sz w:val="24"/>
          <w:szCs w:val="24"/>
        </w:rPr>
        <w:t xml:space="preserve">Les ontologies formelles (RDF, OWL) permettent de définir rigoureusement les concepts d'un domaine, mais leur création et maintenance exigent un effort considérable. Elles fonctionnent pour des domaines stables comme les sciences de la vie, mais peinent face à la dynamique des systèmes d'information d'entreprise. L'hypothèse du monde clos entre en conflit avec l'émergence constante de nouveaux concepts.</w:t>
      </w:r>
    </w:p>
    <w:p>
      <w:pPr>
        <w:spacing w:after="200" w:line="276"/>
        <w:jc w:val="both"/>
      </w:pPr>
      <w:r>
        <w:rPr>
          <w:rFonts w:ascii="Georgia" w:cs="Georgia" w:eastAsia="Georgia" w:hAnsi="Georgia"/>
          <w:sz w:val="24"/>
          <w:szCs w:val="24"/>
        </w:rPr>
        <w:t xml:space="preserve">La gestion des données de référence (MDM) vise une « version unique de la vérité » pour les entités critiques. Les taux d'échec élevés reflètent la tension fondamentale entre centralisation et autonomie des domaines. Le fossé sémantique — l'écart entre définition formelle et signification contextuelle — explique la fragilité des mappings et des modèles canoniques.</w:t>
      </w:r>
    </w:p>
    <w:p>
      <w:pPr>
        <w:spacing w:after="200" w:line="276"/>
        <w:jc w:val="both"/>
      </w:pPr>
      <w:r>
        <w:rPr>
          <w:rFonts w:ascii="Georgia" w:cs="Georgia" w:eastAsia="Georgia" w:hAnsi="Georgia"/>
          <w:sz w:val="24"/>
          <w:szCs w:val="24"/>
        </w:rPr>
        <w:t xml:space="preserve">Ces limites ne peuvent pas être surmontées par plus de formalisation. Le sens est contextuel et évolutif, impossible à capturer dans des structures statiques. L'intelligence artificielle offre une approche alternative : inférer le sens à partir du contexte plutôt que le définir a priori. Cette capacité ouvre la voie à une interopérabilité adaptative.</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Intelligence Artificielle comme Moteur d'Interopérabilité Adaptative</w:t>
      </w:r>
      <w:r>
        <w:rPr>
          <w:rFonts w:ascii="Georgia" w:cs="Georgia" w:eastAsia="Georgia" w:hAnsi="Georgia"/>
          <w:b w:val="false"/>
          <w:bCs w:val="false"/>
          <w:i/>
          <w:iCs/>
          <w:sz w:val="24"/>
          <w:szCs w:val="24"/>
        </w:rPr>
        <w:t xml:space="preserve">, explore cette transformation. Nous y verrons comment la convergence de l'IA et des architectures événementielles crée de nouvelles possibilités : transformation intelligente des données, inférence de mappings, compréhension contextuelle des événements. Les grands modèles de langage ne remplacent pas les approches traditionnelles mais les complètent en apportant la flexibilité qui leur manquait.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3 : Interopérabilité Cognitive et Adaptative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2026-01-11T02:26:40.073Z</dcterms:created>
  <dcterms:modified xsi:type="dcterms:W3CDTF">2026-01-11T02:26:40.074Z</dcterms:modified>
</cp:coreProperties>
</file>

<file path=docProps/custom.xml><?xml version="1.0" encoding="utf-8"?>
<Properties xmlns="http://schemas.openxmlformats.org/officeDocument/2006/custom-properties" xmlns:vt="http://schemas.openxmlformats.org/officeDocument/2006/docPropsVTypes"/>
</file>