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FB4378" w14:textId="77777777" w:rsidR="00FA0BC8" w:rsidRDefault="00000000">
      <w:pPr>
        <w:pStyle w:val="Titre1"/>
        <w:spacing w:after="100"/>
        <w:jc w:val="center"/>
      </w:pPr>
      <w:r>
        <w:rPr>
          <w:sz w:val="48"/>
          <w:szCs w:val="48"/>
        </w:rPr>
        <w:t>INTRODUCTION</w:t>
      </w:r>
    </w:p>
    <w:p w14:paraId="5E582A8F" w14:textId="77777777" w:rsidR="00FA0BC8" w:rsidRDefault="00000000">
      <w:pPr>
        <w:spacing w:after="400"/>
        <w:jc w:val="center"/>
      </w:pPr>
      <w:r>
        <w:rPr>
          <w:rFonts w:ascii="Arial" w:eastAsia="Arial" w:hAnsi="Arial" w:cs="Arial"/>
          <w:b/>
          <w:bCs/>
          <w:color w:val="444444"/>
          <w:sz w:val="40"/>
          <w:szCs w:val="40"/>
        </w:rPr>
        <w:t>MÉTAMORPHOSE</w:t>
      </w:r>
    </w:p>
    <w:p w14:paraId="7765933A" w14:textId="77777777" w:rsidR="00FA0BC8" w:rsidRDefault="00000000">
      <w:pPr>
        <w:spacing w:before="200" w:after="400"/>
        <w:ind w:left="2880"/>
        <w:jc w:val="right"/>
      </w:pPr>
      <w:r>
        <w:rPr>
          <w:i/>
          <w:iCs/>
          <w:sz w:val="22"/>
          <w:szCs w:val="22"/>
        </w:rPr>
        <w:t>« L'entreprise de demain ne sera pas celle qui possède les meilleurs systèmes, mais celle dont les systèmes savent penser ensemble. »</w:t>
      </w:r>
    </w:p>
    <w:p w14:paraId="0ECE0BC3" w14:textId="77777777" w:rsidR="00FA0BC8" w:rsidRDefault="00000000">
      <w:pPr>
        <w:spacing w:after="200" w:line="276" w:lineRule="auto"/>
        <w:jc w:val="both"/>
      </w:pPr>
      <w:r>
        <w:t xml:space="preserve">Nous vivons une époque de transition sans précédent dans l'histoire des systèmes d'information d'entreprise. Après quatre décennies de promesses technologiques successives — de l'EAI au SOA, du cloud </w:t>
      </w:r>
      <w:proofErr w:type="spellStart"/>
      <w:r>
        <w:t>computing</w:t>
      </w:r>
      <w:proofErr w:type="spellEnd"/>
      <w:r>
        <w:t xml:space="preserve"> aux microservices — les organisations se retrouvent paradoxalement plus fragmentées que jamais. Les architectes d'entreprise, ces bâtisseurs de cathédrales numériques, font face à un constat troublant : malgré des investissements colossaux et des méthodologies toujours plus sophistiquées, l'intégration des systèmes demeure le talon d'Achille de la transformation numérique.</w:t>
      </w:r>
    </w:p>
    <w:p w14:paraId="11A5FCB4" w14:textId="77777777" w:rsidR="00FA0BC8" w:rsidRDefault="00000000">
      <w:pPr>
        <w:spacing w:after="200" w:line="276" w:lineRule="auto"/>
        <w:jc w:val="both"/>
      </w:pPr>
      <w:r>
        <w:t>Ce volume inaugural pose les fondations d'une nouvelle vision : l'entreprise agentique. Non pas comme une énième révolution technologique promise par les vendeurs de solutions, mais comme une métamorphose profonde de notre conception même de ce que signifie « faire système » à l'ère de l'intelligence artificielle. Cette introduction trace la carte du territoire que nous allons explorer ensemble, depuis le diagnostic de la crise actuelle jusqu'à l'esquisse d'une architecture intentionnelle capable de réconcilier autonomie et alignement.</w:t>
      </w:r>
    </w:p>
    <w:p w14:paraId="27DC3619" w14:textId="77777777" w:rsidR="00FA0BC8" w:rsidRDefault="00000000">
      <w:pPr>
        <w:pStyle w:val="Titre2"/>
      </w:pPr>
      <w:r>
        <w:t>I.1 Le Point de Rupture : Épuisement du Modèle Traditionnel</w:t>
      </w:r>
    </w:p>
    <w:p w14:paraId="4614131B" w14:textId="77777777" w:rsidR="00FA0BC8" w:rsidRDefault="00000000">
      <w:pPr>
        <w:pStyle w:val="Titre3"/>
      </w:pPr>
      <w:r>
        <w:t>I.1.1 Au-delà de la Dette Technique : La Faillite Cognitive</w:t>
      </w:r>
    </w:p>
    <w:p w14:paraId="0B2DCB3A" w14:textId="77777777" w:rsidR="00FA0BC8" w:rsidRDefault="00000000">
      <w:pPr>
        <w:spacing w:after="200" w:line="276" w:lineRule="auto"/>
        <w:jc w:val="both"/>
      </w:pPr>
      <w:r>
        <w:t>La dette technique est désormais un concept familier pour tout professionnel des technologies de l'information. Elle désigne l'accumulation de compromis architecturaux qui, à l'instar d'un emprunt financier, génère des intérêts croissants sous forme de complexité et de rigidité. Cependant, cette métaphore financière masque une réalité plus profonde et plus inquiétante : l'émergence d'une dette cognitive qui affecte non pas les systèmes eux-mêmes, mais les humains qui doivent les comprendre, les maintenir et les faire évoluer.</w:t>
      </w:r>
    </w:p>
    <w:p w14:paraId="76DA306E" w14:textId="77777777" w:rsidR="00FA0BC8" w:rsidRDefault="00000000">
      <w:pPr>
        <w:spacing w:after="200" w:line="276" w:lineRule="auto"/>
        <w:jc w:val="both"/>
      </w:pPr>
      <w:r>
        <w:t xml:space="preserve">La dette cognitive se manifeste lorsque la complexité d'un écosystème applicatif dépasse la capacité de compréhension d'une équipe, voire d'une organisation entière. Un architecte senior peut maîtriser mentalement les interactions entre une dizaine de systèmes ; au-delà de cinquante, la cartographie devient approximative ; au-delà de deux </w:t>
      </w:r>
      <w:r>
        <w:lastRenderedPageBreak/>
        <w:t>cents, elle relève de l'illusion collective. Or, les grandes entreprises opèrent couramment des portefeuilles de plusieurs milliers d'applications, interconnectées par des dizaines de milliers de flux de données dont personne ne possède la vision complète.</w:t>
      </w:r>
    </w:p>
    <w:p w14:paraId="2B80ED4A" w14:textId="77777777" w:rsidR="00FA0BC8" w:rsidRDefault="00000000">
      <w:pPr>
        <w:spacing w:after="200" w:line="276" w:lineRule="auto"/>
        <w:jc w:val="both"/>
      </w:pPr>
      <w:r>
        <w:t>Cette faillite cognitive n'est pas qu'un problème d'efficacité opérationnelle. Elle constitue un risque existentiel pour l'entreprise moderne. Lorsque personne ne comprend véritablement comment les systèmes interagissent, chaque changement devient une expérience aux conséquences imprévisibles. Les équipes développent des stratégies d'évitement — contourner plutôt que modifier, dupliquer plutôt qu'intégrer — qui alimentent un cercle vicieux d'entropie informationnelle.</w:t>
      </w:r>
    </w:p>
    <w:p w14:paraId="0C1BF725" w14:textId="77777777" w:rsidR="00FA0BC8" w:rsidRDefault="00000000">
      <w:pPr>
        <w:pStyle w:val="Titre3"/>
      </w:pPr>
      <w:r>
        <w:t>I.1.2 L'Archéologie de l'Intégration : Un Cycle de Déceptions</w:t>
      </w:r>
    </w:p>
    <w:p w14:paraId="27E4EFF4" w14:textId="77777777" w:rsidR="00FA0BC8" w:rsidRDefault="00000000">
      <w:pPr>
        <w:spacing w:after="200" w:line="276" w:lineRule="auto"/>
        <w:jc w:val="both"/>
      </w:pPr>
      <w:r>
        <w:t xml:space="preserve">L'histoire de l'intégration d'entreprise ressemble à une série de promesses successives, chacune prétendant résoudre définitivement les problèmes laissés par la précédente. Les années 1990 ont vu l'émergence de l'Enterprise Application </w:t>
      </w:r>
      <w:proofErr w:type="spellStart"/>
      <w:r>
        <w:t>Integration</w:t>
      </w:r>
      <w:proofErr w:type="spellEnd"/>
      <w:r>
        <w:t xml:space="preserve"> (EAI), avec sa promesse d'un hub central capable d'orchestrer tous les échanges. Les années 2000 ont consacré l'Architecture Orientée Services (SOA) et son Enterprise Service Bus (ESB), censés apporter l'agilité par la modularité. Les années 2010 ont célébré les microservices et les API REST, libérant les équipes du carcan monolithique.</w:t>
      </w:r>
    </w:p>
    <w:p w14:paraId="14D62F3F" w14:textId="77777777" w:rsidR="00FA0BC8" w:rsidRDefault="00000000">
      <w:pPr>
        <w:spacing w:after="200" w:line="276" w:lineRule="auto"/>
        <w:jc w:val="both"/>
      </w:pPr>
      <w:r>
        <w:t>Chaque vague a effectivement résolu certains problèmes, tout en en créant de nouveaux. L'EAI a centralisé les compétences d'intégration mais créé des goulets d'étranglement organisationnels. Le SOA a promu la réutilisation mais engendré une gouvernance bureaucratique étouffante. Les microservices ont accéléré les déploiements mais multiplié la complexité opérationnelle. La constante de cette évolution n'est pas le progrès vers une solution définitive, mais la migration perpétuelle de la complexité d'un domaine vers un autre.</w:t>
      </w:r>
    </w:p>
    <w:p w14:paraId="77DF41ED" w14:textId="77777777" w:rsidR="00FA0BC8" w:rsidRDefault="00000000">
      <w:pPr>
        <w:spacing w:after="200" w:line="276" w:lineRule="auto"/>
        <w:jc w:val="both"/>
      </w:pPr>
      <w:r>
        <w:t>Ce cycle de déceptions révèle une erreur conceptuelle fondamentale : traiter l'intégration comme un problème technique à résoudre plutôt que comme une capacité organisationnelle à développer. Les technologies changent, mais le défi demeure : permettre à des systèmes hétérogènes, conçus indépendamment, de collaborer pour servir des objectifs d'affaires en constante évolution.</w:t>
      </w:r>
    </w:p>
    <w:p w14:paraId="4AF10A39" w14:textId="77777777" w:rsidR="00FA0BC8" w:rsidRDefault="00000000">
      <w:pPr>
        <w:pStyle w:val="Titre3"/>
      </w:pPr>
      <w:r>
        <w:t>I.1.3 La Fragmentation Contemporaine</w:t>
      </w:r>
    </w:p>
    <w:p w14:paraId="1C22008E" w14:textId="77777777" w:rsidR="00FA0BC8" w:rsidRDefault="00000000">
      <w:pPr>
        <w:spacing w:after="200" w:line="276" w:lineRule="auto"/>
        <w:jc w:val="both"/>
      </w:pPr>
      <w:r>
        <w:t>Le paysage applicatif contemporain présente une fragmentation sans précédent. Les entreprises opèrent simultanément des systèmes patrimoniaux (</w:t>
      </w:r>
      <w:proofErr w:type="spellStart"/>
      <w:r>
        <w:t>legacy</w:t>
      </w:r>
      <w:proofErr w:type="spellEnd"/>
      <w:r>
        <w:t xml:space="preserve">) dont certains datent de plusieurs décennies, des solutions infonuagiques (cloud) dans leurs multiples déclinaisons (IaaS, PaaS, SaaS), et un écosystème croissant de logiciels en tant que service (SaaS) spécialisés. À cette diversité horizontale s'ajoute une nouvelle frontière : la convergence des technologies de l'information (TI) et des technologies opérationnelles </w:t>
      </w:r>
      <w:r>
        <w:lastRenderedPageBreak/>
        <w:t>(TO), où les systèmes de gestion doivent dialoguer avec les capteurs, automates et équipements industriels.</w:t>
      </w:r>
    </w:p>
    <w:p w14:paraId="5F7C04E0" w14:textId="77777777" w:rsidR="00FA0BC8" w:rsidRDefault="00000000">
      <w:pPr>
        <w:spacing w:after="200" w:line="276" w:lineRule="auto"/>
        <w:jc w:val="both"/>
      </w:pPr>
      <w:r>
        <w:t xml:space="preserve">Cette fragmentation n'est pas accidentelle ; elle reflète l'évolution naturelle des organisations vers des modèles fédérés où chaque unité d'affaires dispose d'une autonomie technologique croissante. Le </w:t>
      </w:r>
      <w:proofErr w:type="spellStart"/>
      <w:r>
        <w:t>shadow</w:t>
      </w:r>
      <w:proofErr w:type="spellEnd"/>
      <w:r>
        <w:t xml:space="preserve"> IT, longtemps combattu par les directions informatiques, est devenu la norme sous des formes institutionnalisées. Les équipes métier adoptent leurs propres outils, créent leurs propres intégrations, et développent leurs propres silos — désormais dans le cloud plutôt que dans les centres de données, mais silos tout de même.</w:t>
      </w:r>
    </w:p>
    <w:p w14:paraId="33D3F58B" w14:textId="77777777" w:rsidR="00FA0BC8" w:rsidRDefault="00000000">
      <w:pPr>
        <w:spacing w:after="200" w:line="276" w:lineRule="auto"/>
        <w:jc w:val="both"/>
      </w:pPr>
      <w:r>
        <w:t>L'accélération temporelle amplifie ce défi. Le passage du Big Data au Fast Data transforme les exigences d'intégration. Il ne s'agit plus seulement de consolider des données pour analyse rétrospective, mais de réagir en temps réel aux événements métier. Un retard de quelques secondes dans la détection d'une fraude, la mise à jour d'un inventaire ou la personnalisation d'une offre peut se traduire en pertes significatives. L'intégration devient une course contre la montre permanente.</w:t>
      </w:r>
    </w:p>
    <w:p w14:paraId="657FAC1C" w14:textId="77777777" w:rsidR="00FA0BC8" w:rsidRDefault="00000000">
      <w:pPr>
        <w:pStyle w:val="Titre2"/>
      </w:pPr>
      <w:r>
        <w:t>I.2 La Solution Systémique : Une Architecture Réactive et Cognitive</w:t>
      </w:r>
    </w:p>
    <w:p w14:paraId="6DFAAD79" w14:textId="77777777" w:rsidR="00FA0BC8" w:rsidRDefault="00000000">
      <w:pPr>
        <w:pStyle w:val="Titre3"/>
      </w:pPr>
      <w:r>
        <w:t>I.2.1 De l'Intégration à l'Interopérabilité : Un Saut Conceptuel</w:t>
      </w:r>
    </w:p>
    <w:p w14:paraId="44DDEC19" w14:textId="77777777" w:rsidR="00FA0BC8" w:rsidRDefault="00000000">
      <w:pPr>
        <w:spacing w:after="200" w:line="276" w:lineRule="auto"/>
        <w:jc w:val="both"/>
      </w:pPr>
      <w:r>
        <w:t>La distinction entre intégration et interopérabilité peut sembler sémantique, mais elle recèle un changement de paradigme fondamental. L'intégration adopte une perspective centrée sur le projet : connecter deux systèmes pour répondre à un besoin spécifique. L'interopérabilité adopte une perspective centrée sur l'écosystème : développer la capacité intrinsèque des systèmes à collaborer avec d'autres, y compris ceux qui n'existent pas encore.</w:t>
      </w:r>
    </w:p>
    <w:p w14:paraId="10B75FB7" w14:textId="77777777" w:rsidR="00FA0BC8" w:rsidRDefault="00000000">
      <w:pPr>
        <w:spacing w:after="200" w:line="276" w:lineRule="auto"/>
        <w:jc w:val="both"/>
      </w:pPr>
      <w:r>
        <w:t>Cette distinction se traduit concrètement dans l'architecture. Une approche d'intégration crée des connexions point-à-point ou des orchestrations spécifiques ; elle optimise pour le cas d'usage immédiat. Une approche d'interopérabilité investit dans des capacités transversales — standards, contrats, événements — qui réduisent le coût marginal de chaque nouvelle connexion. La première accumule de la dette technique ; la seconde construit du capital architectural.</w:t>
      </w:r>
    </w:p>
    <w:p w14:paraId="65DFA0C8" w14:textId="77777777" w:rsidR="00FA0BC8" w:rsidRDefault="00000000">
      <w:pPr>
        <w:spacing w:after="200" w:line="276" w:lineRule="auto"/>
        <w:jc w:val="both"/>
      </w:pPr>
      <w:r>
        <w:t xml:space="preserve">L'interopérabilité comporte plusieurs dimensions complémentaires. La dimension technique assure que les systèmes peuvent physiquement communiquer (protocoles, formats). La dimension syntaxique garantit qu'ils structurent leurs échanges de manière compatible. La dimension sémantique — la plus exigeante — vise à ce qu'ils interprètent les données de manière cohérente. Enfin, la dimension pragmatique aligne les processus </w:t>
      </w:r>
      <w:proofErr w:type="gramStart"/>
      <w:r>
        <w:lastRenderedPageBreak/>
        <w:t>métier</w:t>
      </w:r>
      <w:proofErr w:type="gramEnd"/>
      <w:r>
        <w:t xml:space="preserve"> que ces échanges supportent. L'ambition de ce volume est de montrer comment l'intelligence artificielle peut désormais nous aider à franchir ces différentes dimensions.</w:t>
      </w:r>
    </w:p>
    <w:p w14:paraId="4F28066D" w14:textId="77777777" w:rsidR="00FA0BC8" w:rsidRDefault="00000000">
      <w:pPr>
        <w:pStyle w:val="Titre3"/>
      </w:pPr>
      <w:r>
        <w:t>I.2.2 Les Piliers du Système Nerveux Numérique</w:t>
      </w:r>
    </w:p>
    <w:p w14:paraId="4D8B6168" w14:textId="77777777" w:rsidR="00FA0BC8" w:rsidRDefault="00000000">
      <w:pPr>
        <w:spacing w:after="200" w:line="276" w:lineRule="auto"/>
        <w:jc w:val="both"/>
      </w:pPr>
      <w:r>
        <w:t>L'architecture réactive que nous proposons s'inspire de la métaphore du système nerveux. Tout comme le système nerveux biologique permet à un organisme de percevoir son environnement, de traiter l'information et de coordonner des réponses, le système nerveux numérique de l'entreprise doit assurer trois fonctions essentielles : la perception (capturer les événements métier en temps réel), la cognition (interpréter et enrichir ces événements), et l'action (déclencher des réponses appropriées).</w:t>
      </w:r>
    </w:p>
    <w:p w14:paraId="7724BC81" w14:textId="77777777" w:rsidR="00FA0BC8" w:rsidRDefault="00000000">
      <w:pPr>
        <w:spacing w:after="200" w:line="276" w:lineRule="auto"/>
        <w:jc w:val="both"/>
      </w:pPr>
      <w:r>
        <w:t xml:space="preserve">Cette architecture repose sur la symbiose de deux paradigmes complémentaires. Les API (Application </w:t>
      </w:r>
      <w:proofErr w:type="spellStart"/>
      <w:r>
        <w:t>Programming</w:t>
      </w:r>
      <w:proofErr w:type="spellEnd"/>
      <w:r>
        <w:t xml:space="preserve"> Interfaces) constituent le système nerveux périphérique, offrant des points d'accès bien définis aux capacités de chaque système. L'architecture orientée événements (</w:t>
      </w:r>
      <w:proofErr w:type="spellStart"/>
      <w:r>
        <w:t>Event</w:t>
      </w:r>
      <w:proofErr w:type="spellEnd"/>
      <w:r>
        <w:t>-Driven Architecture ou EDA), portée par des plateformes comme Apache Kafka et Confluent, forme le système nerveux central, permettant aux informations de circuler de manière asynchrone et découplée à travers l'organisation.</w:t>
      </w:r>
    </w:p>
    <w:p w14:paraId="57608604" w14:textId="77777777" w:rsidR="00FA0BC8" w:rsidRDefault="00000000">
      <w:pPr>
        <w:spacing w:after="200" w:line="276" w:lineRule="auto"/>
        <w:jc w:val="both"/>
      </w:pPr>
      <w:r>
        <w:t>Les principes du Manifeste Réactif — réactivité, résilience, élasticité et orientation message — guident la conception de cette infrastructure. Un système réactif répond promptement aux sollicitations. Il demeure résilient face aux pannes par réplication et isolation. Il s'adapte élastiquement à la charge par allocation dynamique de ressources. Et il communique par messages asynchrones pour préserver le découplage entre ses composants.</w:t>
      </w:r>
    </w:p>
    <w:p w14:paraId="2D0229B0" w14:textId="77777777" w:rsidR="00FA0BC8" w:rsidRDefault="00000000">
      <w:pPr>
        <w:pStyle w:val="Titre2"/>
      </w:pPr>
      <w:r>
        <w:t>I.3 Nouveau Paradigme : L'Entreprise Agentique</w:t>
      </w:r>
    </w:p>
    <w:p w14:paraId="4705FD6F" w14:textId="77777777" w:rsidR="00FA0BC8" w:rsidRDefault="00000000">
      <w:pPr>
        <w:pStyle w:val="Titre3"/>
      </w:pPr>
      <w:r>
        <w:t>I.3.1 Du Sens à l'Intention : Le Pivot Cognitif</w:t>
      </w:r>
    </w:p>
    <w:p w14:paraId="4BD86384" w14:textId="77777777" w:rsidR="00FA0BC8" w:rsidRDefault="00000000">
      <w:pPr>
        <w:spacing w:after="200" w:line="276" w:lineRule="auto"/>
        <w:jc w:val="both"/>
      </w:pPr>
      <w:r>
        <w:t>L'interopérabilité sémantique traditionnelle — celle des ontologies, des modèles canoniques et des référentiels de données maîtresses — atteint ses limites face à la dynamique des environnements contemporains. Ces approches présupposent qu'il est possible de définir a priori un vocabulaire partagé exhaustif et stable. Or, les concepts métier évoluent, les contextes d'utilisation se multiplient, et le fossé entre la définition formelle d'un terme et son interprétation opérationnelle ne cesse de se creuser.</w:t>
      </w:r>
    </w:p>
    <w:p w14:paraId="476E90C6" w14:textId="77777777" w:rsidR="00FA0BC8" w:rsidRDefault="00000000">
      <w:pPr>
        <w:spacing w:after="200" w:line="276" w:lineRule="auto"/>
        <w:jc w:val="both"/>
      </w:pPr>
      <w:r>
        <w:t xml:space="preserve">L'émergence des grands modèles de langage (Large </w:t>
      </w:r>
      <w:proofErr w:type="spellStart"/>
      <w:r>
        <w:t>Language</w:t>
      </w:r>
      <w:proofErr w:type="spellEnd"/>
      <w:r>
        <w:t xml:space="preserve"> </w:t>
      </w:r>
      <w:proofErr w:type="spellStart"/>
      <w:r>
        <w:t>Models</w:t>
      </w:r>
      <w:proofErr w:type="spellEnd"/>
      <w:r>
        <w:t xml:space="preserve"> ou LLM) ouvre une nouvelle voie : l'interopérabilité </w:t>
      </w:r>
      <w:proofErr w:type="spellStart"/>
      <w:r>
        <w:t>cognitivo</w:t>
      </w:r>
      <w:proofErr w:type="spellEnd"/>
      <w:r>
        <w:t xml:space="preserve">-adaptative. Ces modèles, entraînés sur des corpus massifs de textes, ont développé une capacité remarquable à comprendre le contexte, à inférer l'intention derrière une requête, et à adapter leur réponse en conséquence. Appliquée à l'interopérabilité, cette capacité permet d'envisager des </w:t>
      </w:r>
      <w:r>
        <w:lastRenderedPageBreak/>
        <w:t>systèmes qui ne se contentent pas de traduire des formats, mais qui comprennent véritablement ce que leurs interlocuteurs cherchent à accomplir.</w:t>
      </w:r>
    </w:p>
    <w:p w14:paraId="77B4E341" w14:textId="77777777" w:rsidR="00FA0BC8" w:rsidRDefault="00000000">
      <w:pPr>
        <w:spacing w:after="200" w:line="276" w:lineRule="auto"/>
        <w:jc w:val="both"/>
      </w:pPr>
      <w:r>
        <w:t>Ce pivot cognitif — du sens à l'intention — constitue le fondement de l'entreprise agentique. Il ne s'agit plus de définir exhaustivement la signification de chaque donnée, mais de développer des systèmes capables d'interpréter les intentions métier et d'agir en conséquence. L'interopérabilité devient alors une propriété émergente de systèmes intelligents plutôt qu'un artefact d'ingénierie préalable.</w:t>
      </w:r>
    </w:p>
    <w:p w14:paraId="717F20F5" w14:textId="77777777" w:rsidR="00FA0BC8" w:rsidRDefault="00000000">
      <w:pPr>
        <w:pStyle w:val="Titre3"/>
      </w:pPr>
      <w:r>
        <w:t>I.3.2 Anatomie de l'Entreprise Agentique</w:t>
      </w:r>
    </w:p>
    <w:p w14:paraId="35204A05" w14:textId="77777777" w:rsidR="00FA0BC8" w:rsidRDefault="00000000">
      <w:pPr>
        <w:spacing w:after="200" w:line="276" w:lineRule="auto"/>
        <w:jc w:val="both"/>
      </w:pPr>
      <w:r>
        <w:t>L'entreprise agentique se caractérise par le déploiement d'agents cognitifs — des entités logicielles autonomes dotées de capacités de perception, de raisonnement et d'action. Ces agents ne sont pas de simples automatismes programmés ; ils possèdent une forme d'intelligence leur permettant de s'adapter à des situations non prévues, d'apprendre de leurs interactions, et de collaborer avec d'autres agents et avec les humains pour atteindre des objectifs complexes.</w:t>
      </w:r>
    </w:p>
    <w:p w14:paraId="32C474C3" w14:textId="77777777" w:rsidR="00FA0BC8" w:rsidRDefault="00000000">
      <w:pPr>
        <w:spacing w:after="200" w:line="276" w:lineRule="auto"/>
        <w:jc w:val="both"/>
      </w:pPr>
      <w:r>
        <w:t>L'architecture de l'entreprise agentique s'organise autour du concept de maillage agentique (</w:t>
      </w:r>
      <w:proofErr w:type="spellStart"/>
      <w:r>
        <w:t>Agentic</w:t>
      </w:r>
      <w:proofErr w:type="spellEnd"/>
      <w:r>
        <w:t xml:space="preserve"> </w:t>
      </w:r>
      <w:proofErr w:type="spellStart"/>
      <w:r>
        <w:t>Mesh</w:t>
      </w:r>
      <w:proofErr w:type="spellEnd"/>
      <w:r>
        <w:t xml:space="preserve">). Ce maillage constitue le tissu conjonctif qui permet aux agents de se découvrir mutuellement, de négocier leurs interactions, et de coordonner leurs actions. Il s'appuie sur l'infrastructure événementielle existante (le système nerveux numérique) tout en y ajoutant des protocoles spécifiques à la communication agent-à-agent, comme le protocole A2A (Agent-to-Agent) ou le Model </w:t>
      </w:r>
      <w:proofErr w:type="spellStart"/>
      <w:r>
        <w:t>Context</w:t>
      </w:r>
      <w:proofErr w:type="spellEnd"/>
      <w:r>
        <w:t xml:space="preserve"> Protocol (MCP).</w:t>
      </w:r>
    </w:p>
    <w:p w14:paraId="35C0399A" w14:textId="77777777" w:rsidR="00FA0BC8" w:rsidRDefault="00000000">
      <w:pPr>
        <w:spacing w:after="200" w:line="276" w:lineRule="auto"/>
        <w:jc w:val="both"/>
      </w:pPr>
      <w:r>
        <w:t>La gouvernance de ce maillage constitue un défi inédit. Comment s'assurer que des agents autonomes, potentiellement développés par des équipes différentes et poursuivant des objectifs locaux, contribuent à la cohérence globale de l'entreprise ? La réponse que nous développerons fait appel au concept d'IA constitutionnelle : un ensemble de principes et de contraintes intégrés dans l'architecture même des agents, qui guident leur comportement sans le programmer exhaustivement.</w:t>
      </w:r>
    </w:p>
    <w:p w14:paraId="2A6E9DD7" w14:textId="77777777" w:rsidR="00FA0BC8" w:rsidRDefault="00000000">
      <w:pPr>
        <w:pStyle w:val="Titre3"/>
      </w:pPr>
      <w:r>
        <w:t>I.3.3 La Symbiose Humain-Agent</w:t>
      </w:r>
    </w:p>
    <w:p w14:paraId="70AA1339" w14:textId="77777777" w:rsidR="00FA0BC8" w:rsidRDefault="00000000">
      <w:pPr>
        <w:spacing w:after="200" w:line="276" w:lineRule="auto"/>
        <w:jc w:val="both"/>
      </w:pPr>
      <w:r>
        <w:t>L'entreprise agentique ne signifie pas l'éviction des humains au profit des machines. Elle implique une reconfiguration profonde de la collaboration entre intelligence humaine et intelligence artificielle. Le modèle émergent est celui du partenariat cognitif, où chaque partie apporte ses forces distinctives : créativité, jugement éthique et vision stratégique pour les humains ; capacité de traitement, disponibilité permanente et cohérence opérationnelle pour les agents.</w:t>
      </w:r>
    </w:p>
    <w:p w14:paraId="47B074E8" w14:textId="77777777" w:rsidR="00FA0BC8" w:rsidRDefault="00000000">
      <w:pPr>
        <w:spacing w:after="200" w:line="276" w:lineRule="auto"/>
        <w:jc w:val="both"/>
      </w:pPr>
      <w:r>
        <w:t xml:space="preserve">Cette symbiose s'articule selon différents modes. Le mode Human-in-the-Loop place l'humain au cœur de chaque décision significative ; l'agent prépare, suggère et exécute, mais l'humain valide. Le mode Human-on-the-Loop délègue davantage d'autonomie aux </w:t>
      </w:r>
      <w:r>
        <w:lastRenderedPageBreak/>
        <w:t>agents tout en maintenant une supervision humaine capable d'intervenir en cas de dérive. Le mode Human-out-of-the-Loop, réservé aux processus parfaitement maîtrisés et à faible risque, accorde une autonomie complète aux agents.</w:t>
      </w:r>
    </w:p>
    <w:p w14:paraId="5781C438" w14:textId="77777777" w:rsidR="00FA0BC8" w:rsidRDefault="00000000">
      <w:pPr>
        <w:spacing w:after="200" w:line="276" w:lineRule="auto"/>
        <w:jc w:val="both"/>
      </w:pPr>
      <w:r>
        <w:t>Le choix entre ces modes n'est pas binaire mais contextuel. Une même organisation, un même processus, peut basculer d'un mode à l'autre selon les circonstances — situation nominale ou exceptionnelle, enjeux faibles ou critiques, niveau de confiance acquis envers un agent particulier. L'architecture doit supporter cette fluidité.</w:t>
      </w:r>
    </w:p>
    <w:p w14:paraId="28516D50" w14:textId="77777777" w:rsidR="00FA0BC8" w:rsidRDefault="00000000">
      <w:pPr>
        <w:pStyle w:val="Titre2"/>
      </w:pPr>
      <w:r>
        <w:t>I.4 La Voie de la Transformation</w:t>
      </w:r>
    </w:p>
    <w:p w14:paraId="56DB6F27" w14:textId="77777777" w:rsidR="00FA0BC8" w:rsidRDefault="00000000">
      <w:pPr>
        <w:pStyle w:val="Titre3"/>
      </w:pPr>
      <w:r>
        <w:t>I.4.1 L'APM Cognitif : La Nouvelle Boussole de la Transformation</w:t>
      </w:r>
    </w:p>
    <w:p w14:paraId="3B4403E2" w14:textId="77777777" w:rsidR="00FA0BC8" w:rsidRDefault="00000000">
      <w:pPr>
        <w:spacing w:after="200" w:line="276" w:lineRule="auto"/>
        <w:jc w:val="both"/>
      </w:pPr>
      <w:r>
        <w:t>La gestion du portefeuille applicatif (Application Portfolio Management ou APM) constitue traditionnellement l'outil de pilotage de la transformation des systèmes d'information. Elle permet d'inventorier les applications, d'évaluer leur valeur métier et leur santé technique, et de prendre des décisions de rationalisation. L'entreprise agentique exige une évolution de cette discipline vers un APM cognitif, capable d'évaluer non seulement les applications traditionnelles, mais aussi les agents cognitifs et leur potentiel de transformation.</w:t>
      </w:r>
    </w:p>
    <w:p w14:paraId="3B55D157" w14:textId="77777777" w:rsidR="00FA0BC8" w:rsidRDefault="00000000">
      <w:pPr>
        <w:spacing w:after="200" w:line="276" w:lineRule="auto"/>
        <w:jc w:val="both"/>
      </w:pPr>
      <w:r>
        <w:t>Le modèle d'évaluation que nous proposons intègre de nouvelles dimensions : le potentiel d'</w:t>
      </w:r>
      <w:proofErr w:type="spellStart"/>
      <w:r>
        <w:t>agentification</w:t>
      </w:r>
      <w:proofErr w:type="spellEnd"/>
      <w:r>
        <w:t xml:space="preserve"> (capacité d'une application à être encapsulée ou remplacée par des agents), la maturité d'interopérabilité (qualité des API et des événements exposés), et l'alignement intentionnel (adéquation entre les capacités du système et les intentions métier qu'il devrait servir). Ces critères permettent de prioriser les investissements et de tracer une feuille de route de transformation réaliste.</w:t>
      </w:r>
    </w:p>
    <w:p w14:paraId="664CC115" w14:textId="77777777" w:rsidR="00FA0BC8" w:rsidRDefault="00000000">
      <w:pPr>
        <w:pStyle w:val="Titre3"/>
      </w:pPr>
      <w:r>
        <w:t>I.4.2 Un Parcours en Quatre Phases</w:t>
      </w:r>
    </w:p>
    <w:p w14:paraId="29983199" w14:textId="77777777" w:rsidR="00FA0BC8" w:rsidRDefault="00000000">
      <w:pPr>
        <w:spacing w:after="200" w:line="276" w:lineRule="auto"/>
        <w:jc w:val="both"/>
      </w:pPr>
      <w:r>
        <w:t>La transformation vers l'entreprise agentique ne peut s'accomplir en une seule vague. Elle requiert un parcours structuré que nous articulons en quatre phases. La première phase, Fondation, établit les prérequis architecturaux : infrastructure événementielle, catalogue d'API, observabilité unifiée. La deuxième phase, Augmentation, introduit des agents cognitifs en support des processus existants, dans une logique d'assistance plutôt que de remplacement.</w:t>
      </w:r>
    </w:p>
    <w:p w14:paraId="4EB394CC" w14:textId="77777777" w:rsidR="00FA0BC8" w:rsidRDefault="00000000">
      <w:pPr>
        <w:spacing w:after="200" w:line="276" w:lineRule="auto"/>
        <w:jc w:val="both"/>
      </w:pPr>
      <w:r>
        <w:t>La troisième phase, Orchestration, développe des systèmes multi-agents capables de coordonner des processus complexes de bout en bout. La quatrième phase, Autonomie, atteint la maturité de l'entreprise agentique avec des agents auto-adaptatifs opérant dans un cadre de gouvernance constitutionnelle. Chaque phase génère de la valeur en elle-même tout en préparant la suivante, permettant une transformation progressive et maîtrisée.</w:t>
      </w:r>
    </w:p>
    <w:p w14:paraId="5A602442" w14:textId="77777777" w:rsidR="00FA0BC8" w:rsidRDefault="00000000">
      <w:pPr>
        <w:pStyle w:val="Titre2"/>
      </w:pPr>
      <w:r>
        <w:lastRenderedPageBreak/>
        <w:t>I.5 Architecturer la Sagesse Collective</w:t>
      </w:r>
    </w:p>
    <w:p w14:paraId="355BE320" w14:textId="77777777" w:rsidR="00FA0BC8" w:rsidRDefault="00000000">
      <w:pPr>
        <w:spacing w:after="200" w:line="276" w:lineRule="auto"/>
        <w:jc w:val="both"/>
      </w:pPr>
      <w:r>
        <w:t>Ce volume inaugural ouvre un voyage intellectuel et pratique à travers cinq parties complémentaires. La première partie diagnostique la crise de l'intégration, en explorant ses racines historiques et ses manifestations contemporaines. La deuxième partie présente l'architecture réactive comme fondation technique, avec ses piliers API et événementiels. La troisième partie introduit le concept d'interopérabilité cognitive, montrant comment l'intelligence artificielle transcende les limites de l'approche sémantique traditionnelle.</w:t>
      </w:r>
    </w:p>
    <w:p w14:paraId="212512BA" w14:textId="77777777" w:rsidR="00FA0BC8" w:rsidRDefault="00000000">
      <w:pPr>
        <w:spacing w:after="200" w:line="276" w:lineRule="auto"/>
        <w:jc w:val="both"/>
      </w:pPr>
      <w:r>
        <w:t>La quatrième partie — cœur du volume — développe l'ère agentique dans toutes ses dimensions : taxonomie des agents, architectures multi-agents, protocoles d'interaction, gouvernance constitutionnelle et rôles émergents comme l'Architecte d'Intentions. La cinquième partie trace la voie de la transformation, avec ses méthodologies, ses patrons de modernisation et sa prospective vers les agents auto-</w:t>
      </w:r>
      <w:proofErr w:type="spellStart"/>
      <w:r>
        <w:t>architecturants</w:t>
      </w:r>
      <w:proofErr w:type="spellEnd"/>
      <w:r>
        <w:t xml:space="preserve"> et l'intelligence artificielle générale d'entreprise.</w:t>
      </w:r>
    </w:p>
    <w:p w14:paraId="264C23B7" w14:textId="77777777" w:rsidR="00FA0BC8" w:rsidRDefault="00000000">
      <w:pPr>
        <w:spacing w:after="200" w:line="276" w:lineRule="auto"/>
        <w:jc w:val="both"/>
      </w:pPr>
      <w:r>
        <w:t>L'ambition de cet ouvrage n'est pas de fournir une recette universelle — la complexité des organisations le rend illusoire — mais d'équiper les architectes et les dirigeants d'un cadre conceptuel robuste et d'outils pratiques pour naviguer la transition agentique. Car cette transition n'est pas optionnelle : elle constitue l'horizon inéluctable de l'entreprise numérique. La question n'est pas de savoir si les agents cognitifs transformeront nos organisations, mais comment nous pouvons guider cette transformation pour qu'elle serve véritablement les intentions humaines.</w:t>
      </w:r>
    </w:p>
    <w:p w14:paraId="5202FB85" w14:textId="77777777" w:rsidR="00FA0BC8" w:rsidRDefault="00000000">
      <w:pPr>
        <w:pStyle w:val="Titre2"/>
      </w:pPr>
      <w:r>
        <w:t>I.6 Résumé</w:t>
      </w:r>
    </w:p>
    <w:p w14:paraId="57780790" w14:textId="77777777" w:rsidR="00FA0BC8" w:rsidRDefault="00000000">
      <w:pPr>
        <w:spacing w:after="200" w:line="276" w:lineRule="auto"/>
        <w:jc w:val="both"/>
      </w:pPr>
      <w:r>
        <w:t>Cette introduction a posé les jalons du parcours que nous allons entreprendre. Le constat de départ est celui d'une crise profonde : au-delà de la dette technique, une faillite cognitive où la complexité des écosystèmes applicatifs dépasse la capacité de compréhension humaine. Face à cette crise, nous proposons une solution systémique articulée autour de trois piliers.</w:t>
      </w:r>
    </w:p>
    <w:p w14:paraId="32C70EE2" w14:textId="77777777" w:rsidR="00FA0BC8" w:rsidRDefault="00000000">
      <w:pPr>
        <w:spacing w:after="200" w:line="276" w:lineRule="auto"/>
        <w:jc w:val="both"/>
      </w:pPr>
      <w:r>
        <w:t xml:space="preserve">Le premier pilier est l'architecture réactive, ce système nerveux numérique qui combine API et événements pour permettre une interopérabilité fluide et temps réel. Le deuxième pilier est l'interopérabilité </w:t>
      </w:r>
      <w:proofErr w:type="spellStart"/>
      <w:r>
        <w:t>cognitivo</w:t>
      </w:r>
      <w:proofErr w:type="spellEnd"/>
      <w:r>
        <w:t>-adaptative, qui mobilise l'intelligence artificielle pour transcender les limites des approches sémantiques traditionnelles. Le troisième pilier est l'entreprise agentique elle-même, avec son maillage d'agents cognitifs, sa gouvernance constitutionnelle et sa symbiose humain-machine.</w:t>
      </w:r>
    </w:p>
    <w:p w14:paraId="1992B957" w14:textId="77777777" w:rsidR="00FA0BC8" w:rsidRDefault="00000000">
      <w:pPr>
        <w:spacing w:after="200" w:line="276" w:lineRule="auto"/>
        <w:jc w:val="both"/>
      </w:pPr>
      <w:r>
        <w:t xml:space="preserve">Les chapitres qui suivent développeront méthodiquement chacun de ces éléments, en alternant fondements théoriques et applications pratiques. Le lecteur y trouvera des cadres de référence pour structurer sa réflexion, des patrons architecturaux pour guider </w:t>
      </w:r>
      <w:r>
        <w:lastRenderedPageBreak/>
        <w:t>ses choix techniques, et des études de cas pour inspirer ses initiatives. L'entreprise agentique n'est pas une destination mais un voyage — et ce volume en constitue la première étape essentielle.</w:t>
      </w:r>
    </w:p>
    <w:p w14:paraId="2CDCEBCA" w14:textId="77777777" w:rsidR="00FA0BC8" w:rsidRDefault="00000000">
      <w:r>
        <w:br w:type="page"/>
      </w:r>
    </w:p>
    <w:p w14:paraId="324E6C2A" w14:textId="77777777" w:rsidR="00FA0BC8" w:rsidRDefault="00000000">
      <w:pPr>
        <w:spacing w:before="600" w:after="200"/>
        <w:jc w:val="center"/>
      </w:pPr>
      <w:r>
        <w:rPr>
          <w:sz w:val="28"/>
          <w:szCs w:val="28"/>
        </w:rPr>
        <w:lastRenderedPageBreak/>
        <w:t>◆ ◆ ◆</w:t>
      </w:r>
    </w:p>
    <w:p w14:paraId="0598618D" w14:textId="77777777" w:rsidR="00FA0BC8" w:rsidRDefault="00000000">
      <w:pPr>
        <w:spacing w:after="200" w:line="276" w:lineRule="auto"/>
        <w:jc w:val="both"/>
      </w:pPr>
      <w:r>
        <w:rPr>
          <w:i/>
          <w:iCs/>
        </w:rPr>
        <w:t xml:space="preserve">La première partie de ce volume, </w:t>
      </w:r>
      <w:r>
        <w:rPr>
          <w:b/>
          <w:bCs/>
          <w:i/>
          <w:iCs/>
        </w:rPr>
        <w:t>La Crise de l'Intégration</w:t>
      </w:r>
      <w:r>
        <w:rPr>
          <w:i/>
          <w:iCs/>
        </w:rPr>
        <w:t>, examine en profondeur les dysfonctionnements des approches traditionnelles. Du « plat de spaghettis » originel aux promesses déçues du SOA, nous retraçons l'archéologie d'un domaine en quête permanente de solution définitive. Cette analyse historique n'est pas un exercice de style : comprendre pourquoi les solutions passées ont échoué est indispensable pour éviter de reproduire les mêmes erreurs avec les technologies d'aujourd'hui.</w:t>
      </w:r>
    </w:p>
    <w:sectPr w:rsidR="00FA0BC8">
      <w:headerReference w:type="default" r:id="rId7"/>
      <w:footerReference w:type="default" r:id="rId8"/>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BE5028E" w14:textId="77777777" w:rsidR="00902EF7" w:rsidRDefault="00902EF7">
      <w:r>
        <w:separator/>
      </w:r>
    </w:p>
  </w:endnote>
  <w:endnote w:type="continuationSeparator" w:id="0">
    <w:p w14:paraId="09C6AEEB" w14:textId="77777777" w:rsidR="00902EF7" w:rsidRDefault="00902EF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Georgia">
    <w:panose1 w:val="020405020504050203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D6FB24" w14:textId="77777777" w:rsidR="00FA0BC8" w:rsidRDefault="00000000">
    <w:pPr>
      <w:jc w:val="center"/>
    </w:pPr>
    <w:r>
      <w:rPr>
        <w:rFonts w:ascii="Arial" w:eastAsia="Arial" w:hAnsi="Arial" w:cs="Arial"/>
        <w:sz w:val="20"/>
        <w:szCs w:val="20"/>
      </w:rPr>
      <w:t xml:space="preserve">Page </w:t>
    </w:r>
    <w:r>
      <w:rPr>
        <w:rFonts w:ascii="Arial" w:eastAsia="Arial" w:hAnsi="Arial" w:cs="Arial"/>
        <w:sz w:val="20"/>
        <w:szCs w:val="20"/>
      </w:rPr>
      <w:fldChar w:fldCharType="begin"/>
    </w:r>
    <w:r>
      <w:rPr>
        <w:rFonts w:ascii="Arial" w:eastAsia="Arial" w:hAnsi="Arial" w:cs="Arial"/>
        <w:sz w:val="20"/>
        <w:szCs w:val="20"/>
      </w:rPr>
      <w:instrText>PAGE</w:instrText>
    </w:r>
    <w:r>
      <w:rPr>
        <w:rFonts w:ascii="Arial" w:eastAsia="Arial" w:hAnsi="Arial" w:cs="Arial"/>
        <w:sz w:val="20"/>
        <w:szCs w:val="20"/>
      </w:rPr>
      <w:fldChar w:fldCharType="separate"/>
    </w:r>
    <w:r w:rsidR="000452F9">
      <w:rPr>
        <w:rFonts w:ascii="Arial" w:eastAsia="Arial" w:hAnsi="Arial" w:cs="Arial"/>
        <w:noProof/>
        <w:sz w:val="20"/>
        <w:szCs w:val="20"/>
      </w:rPr>
      <w:t>1</w:t>
    </w:r>
    <w:r>
      <w:rPr>
        <w:rFonts w:ascii="Arial" w:eastAsia="Arial" w:hAnsi="Arial" w:cs="Arial"/>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F9E15E6" w14:textId="77777777" w:rsidR="00902EF7" w:rsidRDefault="00902EF7">
      <w:r>
        <w:separator/>
      </w:r>
    </w:p>
  </w:footnote>
  <w:footnote w:type="continuationSeparator" w:id="0">
    <w:p w14:paraId="19E2A58A" w14:textId="77777777" w:rsidR="00902EF7" w:rsidRDefault="00902EF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A63F55" w14:textId="77777777" w:rsidR="00FA0BC8" w:rsidRDefault="00000000">
    <w:pPr>
      <w:jc w:val="right"/>
    </w:pPr>
    <w:r>
      <w:rPr>
        <w:rFonts w:ascii="Arial" w:eastAsia="Arial" w:hAnsi="Arial" w:cs="Arial"/>
        <w:i/>
        <w:iCs/>
        <w:color w:val="666666"/>
        <w:sz w:val="20"/>
        <w:szCs w:val="20"/>
      </w:rPr>
      <w:t>Volume I : Fondations de l'Entreprise Agentique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2AE3516"/>
    <w:multiLevelType w:val="hybridMultilevel"/>
    <w:tmpl w:val="D76E31E2"/>
    <w:lvl w:ilvl="0" w:tplc="29AC08F8">
      <w:start w:val="1"/>
      <w:numFmt w:val="bullet"/>
      <w:lvlText w:val="●"/>
      <w:lvlJc w:val="left"/>
      <w:pPr>
        <w:ind w:left="720" w:hanging="360"/>
      </w:pPr>
    </w:lvl>
    <w:lvl w:ilvl="1" w:tplc="66729808">
      <w:start w:val="1"/>
      <w:numFmt w:val="bullet"/>
      <w:lvlText w:val="○"/>
      <w:lvlJc w:val="left"/>
      <w:pPr>
        <w:ind w:left="1440" w:hanging="360"/>
      </w:pPr>
    </w:lvl>
    <w:lvl w:ilvl="2" w:tplc="E640A944">
      <w:start w:val="1"/>
      <w:numFmt w:val="bullet"/>
      <w:lvlText w:val="■"/>
      <w:lvlJc w:val="left"/>
      <w:pPr>
        <w:ind w:left="2160" w:hanging="360"/>
      </w:pPr>
    </w:lvl>
    <w:lvl w:ilvl="3" w:tplc="0E0EA9FA">
      <w:start w:val="1"/>
      <w:numFmt w:val="bullet"/>
      <w:lvlText w:val="●"/>
      <w:lvlJc w:val="left"/>
      <w:pPr>
        <w:ind w:left="2880" w:hanging="360"/>
      </w:pPr>
    </w:lvl>
    <w:lvl w:ilvl="4" w:tplc="8E9696BC">
      <w:start w:val="1"/>
      <w:numFmt w:val="bullet"/>
      <w:lvlText w:val="○"/>
      <w:lvlJc w:val="left"/>
      <w:pPr>
        <w:ind w:left="3600" w:hanging="360"/>
      </w:pPr>
    </w:lvl>
    <w:lvl w:ilvl="5" w:tplc="21D2BF0A">
      <w:start w:val="1"/>
      <w:numFmt w:val="bullet"/>
      <w:lvlText w:val="■"/>
      <w:lvlJc w:val="left"/>
      <w:pPr>
        <w:ind w:left="4320" w:hanging="360"/>
      </w:pPr>
    </w:lvl>
    <w:lvl w:ilvl="6" w:tplc="73B8CE4C">
      <w:start w:val="1"/>
      <w:numFmt w:val="bullet"/>
      <w:lvlText w:val="●"/>
      <w:lvlJc w:val="left"/>
      <w:pPr>
        <w:ind w:left="5040" w:hanging="360"/>
      </w:pPr>
    </w:lvl>
    <w:lvl w:ilvl="7" w:tplc="E436A402">
      <w:start w:val="1"/>
      <w:numFmt w:val="bullet"/>
      <w:lvlText w:val="●"/>
      <w:lvlJc w:val="left"/>
      <w:pPr>
        <w:ind w:left="5760" w:hanging="360"/>
      </w:pPr>
    </w:lvl>
    <w:lvl w:ilvl="8" w:tplc="949EF30C">
      <w:start w:val="1"/>
      <w:numFmt w:val="bullet"/>
      <w:lvlText w:val="●"/>
      <w:lvlJc w:val="left"/>
      <w:pPr>
        <w:ind w:left="6480" w:hanging="360"/>
      </w:pPr>
    </w:lvl>
  </w:abstractNum>
  <w:num w:numId="1" w16cid:durableId="418872030">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A0BC8"/>
    <w:rsid w:val="000452F9"/>
    <w:rsid w:val="00442BF2"/>
    <w:rsid w:val="00902EF7"/>
    <w:rsid w:val="00FA0BC8"/>
  </w:rsids>
  <m:mathPr>
    <m:mathFont m:val="Cambria Math"/>
    <m:brkBin m:val="before"/>
    <m:brkBinSub m:val="--"/>
    <m:smallFrac m:val="0"/>
    <m:dispDef/>
    <m:lMargin m:val="0"/>
    <m:rMargin m:val="0"/>
    <m:defJc m:val="centerGroup"/>
    <m:wrapIndent m:val="1440"/>
    <m:intLim m:val="subSup"/>
    <m:naryLim m:val="undOvr"/>
  </m:mathPr>
  <w:themeFontLang w:val="fr-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5BD0AC"/>
  <w15:docId w15:val="{E009A4ED-2DFD-4942-806D-3F642EB6C3E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Georgia" w:eastAsia="Georgia" w:hAnsi="Georgia" w:cs="Georgia"/>
        <w:sz w:val="24"/>
        <w:szCs w:val="24"/>
        <w:lang w:val="fr-CA" w:eastAsia="fr-CA"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uiPriority w:val="9"/>
    <w:qFormat/>
    <w:pPr>
      <w:spacing w:before="400" w:after="200"/>
      <w:outlineLvl w:val="0"/>
    </w:pPr>
    <w:rPr>
      <w:rFonts w:ascii="Arial" w:eastAsia="Arial" w:hAnsi="Arial" w:cs="Arial"/>
      <w:b/>
      <w:bCs/>
      <w:color w:val="1A1A1A"/>
      <w:sz w:val="36"/>
      <w:szCs w:val="36"/>
    </w:rPr>
  </w:style>
  <w:style w:type="paragraph" w:styleId="Titre2">
    <w:name w:val="heading 2"/>
    <w:uiPriority w:val="9"/>
    <w:unhideWhenUsed/>
    <w:qFormat/>
    <w:pPr>
      <w:spacing w:before="360" w:after="180"/>
      <w:outlineLvl w:val="1"/>
    </w:pPr>
    <w:rPr>
      <w:rFonts w:ascii="Arial" w:eastAsia="Arial" w:hAnsi="Arial" w:cs="Arial"/>
      <w:b/>
      <w:bCs/>
      <w:color w:val="2A2A2A"/>
      <w:sz w:val="30"/>
      <w:szCs w:val="30"/>
    </w:rPr>
  </w:style>
  <w:style w:type="paragraph" w:styleId="Titre3">
    <w:name w:val="heading 3"/>
    <w:uiPriority w:val="9"/>
    <w:unhideWhenUsed/>
    <w:qFormat/>
    <w:pPr>
      <w:spacing w:before="280" w:after="140"/>
      <w:outlineLvl w:val="2"/>
    </w:pPr>
    <w:rPr>
      <w:rFonts w:ascii="Arial" w:eastAsia="Arial" w:hAnsi="Arial" w:cs="Arial"/>
      <w:b/>
      <w:bCs/>
      <w:color w:val="3A3A3A"/>
      <w:sz w:val="26"/>
      <w:szCs w:val="26"/>
    </w:rPr>
  </w:style>
  <w:style w:type="paragraph" w:styleId="Titre4">
    <w:name w:val="heading 4"/>
    <w:uiPriority w:val="9"/>
    <w:semiHidden/>
    <w:unhideWhenUsed/>
    <w:qFormat/>
    <w:pPr>
      <w:outlineLvl w:val="3"/>
    </w:pPr>
    <w:rPr>
      <w:i/>
      <w:iCs/>
      <w:color w:val="2E74B5"/>
    </w:rPr>
  </w:style>
  <w:style w:type="paragraph" w:styleId="Titre5">
    <w:name w:val="heading 5"/>
    <w:uiPriority w:val="9"/>
    <w:semiHidden/>
    <w:unhideWhenUsed/>
    <w:qFormat/>
    <w:pPr>
      <w:outlineLvl w:val="4"/>
    </w:pPr>
    <w:rPr>
      <w:color w:val="2E74B5"/>
    </w:rPr>
  </w:style>
  <w:style w:type="paragraph" w:styleId="Titre6">
    <w:name w:val="heading 6"/>
    <w:uiPriority w:val="9"/>
    <w:semiHidden/>
    <w:unhideWhenUsed/>
    <w:qFormat/>
    <w:pPr>
      <w:outlineLvl w:val="5"/>
    </w:pPr>
    <w:rPr>
      <w:color w:val="1F4D7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Titre">
    <w:name w:val="Title"/>
    <w:uiPriority w:val="10"/>
    <w:qFormat/>
    <w:rPr>
      <w:sz w:val="56"/>
      <w:szCs w:val="56"/>
    </w:rPr>
  </w:style>
  <w:style w:type="paragraph" w:customStyle="1" w:styleId="lev1">
    <w:name w:val="Élevé1"/>
    <w:qFormat/>
    <w:rPr>
      <w:b/>
      <w:bCs/>
    </w:rPr>
  </w:style>
  <w:style w:type="paragraph" w:styleId="Paragraphedeliste">
    <w:name w:val="List Paragraph"/>
    <w:qFormat/>
  </w:style>
  <w:style w:type="character" w:styleId="Lienhypertexte">
    <w:name w:val="Hyperlink"/>
    <w:uiPriority w:val="99"/>
    <w:unhideWhenUsed/>
    <w:rPr>
      <w:color w:val="0563C1"/>
      <w:u w:val="single"/>
    </w:rPr>
  </w:style>
  <w:style w:type="character" w:styleId="Appelnotedebasdep">
    <w:name w:val="footnote reference"/>
    <w:uiPriority w:val="99"/>
    <w:semiHidden/>
    <w:unhideWhenUsed/>
    <w:rPr>
      <w:vertAlign w:val="superscript"/>
    </w:rPr>
  </w:style>
  <w:style w:type="paragraph" w:styleId="Notedebasdepage">
    <w:name w:val="footnote text"/>
    <w:link w:val="NotedebasdepageCar"/>
    <w:uiPriority w:val="99"/>
    <w:semiHidden/>
    <w:unhideWhenUsed/>
    <w:rPr>
      <w:sz w:val="20"/>
      <w:szCs w:val="20"/>
    </w:rPr>
  </w:style>
  <w:style w:type="character" w:customStyle="1" w:styleId="NotedebasdepageCar">
    <w:name w:val="Note de bas de page Car"/>
    <w:link w:val="Notedebasdepage"/>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9</Pages>
  <Words>2600</Words>
  <Characters>16682</Characters>
  <Application>Microsoft Office Word</Application>
  <DocSecurity>0</DocSecurity>
  <Lines>255</Lines>
  <Paragraphs>57</Paragraphs>
  <ScaleCrop>false</ScaleCrop>
  <Company/>
  <LinksUpToDate>false</LinksUpToDate>
  <CharactersWithSpaces>19247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André-Guy Bruneau</cp:lastModifiedBy>
  <cp:revision>3</cp:revision>
  <dcterms:created xsi:type="dcterms:W3CDTF">2026-01-11T01:21:00Z</dcterms:created>
  <dcterms:modified xsi:type="dcterms:W3CDTF">2026-01-11T01:27:00Z</dcterms:modified>
</cp:coreProperties>
</file>