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I.16</w:t>
      </w:r>
    </w:p>
    <w:p>
      <w:pPr>
        <w:pStyle w:val="Heading1"/>
        <w:spacing w:after="400"/>
        <w:jc w:val="center"/>
      </w:pPr>
      <w:r>
        <w:rPr>
          <w:rFonts w:ascii="Arial" w:cs="Arial" w:eastAsia="Arial" w:hAnsi="Arial"/>
          <w:b/>
          <w:bCs/>
          <w:sz w:val="36"/>
          <w:szCs w:val="36"/>
        </w:rPr>
        <w:t xml:space="preserve">Modèle Opérationnel et la Symbiose Humain-Agent</w:t>
      </w:r>
    </w:p>
    <w:p>
      <w:pPr>
        <w:spacing w:before="200" w:after="400"/>
        <w:ind w:left="2880"/>
        <w:jc w:val="right"/>
      </w:pPr>
      <w:r>
        <w:rPr>
          <w:rFonts w:ascii="Georgia" w:cs="Georgia" w:eastAsia="Georgia" w:hAnsi="Georgia"/>
          <w:i/>
          <w:iCs/>
          <w:sz w:val="22"/>
          <w:szCs w:val="22"/>
        </w:rPr>
        <w:t xml:space="preserve">« L'avenir appartient à ceux qui comprennent que faire plus avec moins est compassionnel, prospère et durable, et donc plus intelligent. »
— R. Buckminster Fuller</w:t>
      </w:r>
    </w:p>
    <w:p>
      <w:pPr>
        <w:spacing w:after="200" w:line="276"/>
        <w:jc w:val="both"/>
      </w:pPr>
      <w:r>
        <w:rPr>
          <w:rFonts w:ascii="Georgia" w:cs="Georgia" w:eastAsia="Georgia" w:hAnsi="Georgia"/>
          <w:sz w:val="24"/>
          <w:szCs w:val="24"/>
        </w:rPr>
        <w:t xml:space="preserve">Les chapitres précédents ont établi les fondations techniques de l'entreprise agentique : anatomie des agents, maillage de coordination, ingénierie des systèmes cognitifs. Ce chapitre aborde une dimension tout aussi critique : le modèle opérationnel. Comment les organisations se transforment-elles pour intégrer cette nouvelle force de travail ? Comment les rôles humains évoluent-ils ? Quel équilibre établir entre autonomie des agents et contrôle humain ?</w:t>
      </w:r>
    </w:p>
    <w:p>
      <w:pPr>
        <w:spacing w:after="200" w:line="276"/>
        <w:jc w:val="both"/>
      </w:pPr>
      <w:r>
        <w:rPr>
          <w:rFonts w:ascii="Georgia" w:cs="Georgia" w:eastAsia="Georgia" w:hAnsi="Georgia"/>
          <w:sz w:val="24"/>
          <w:szCs w:val="24"/>
        </w:rPr>
        <w:t xml:space="preserve">La transformation agentique n'est pas qu'une affaire de technologie. Elle reconfigure les processus, redéfinit les compétences, transforme les métiers. Les organisations qui réussissent cette transition ne se contentent pas de déployer des agents ; elles repensent leur modèle opérationnel pour une collaboration symbiotique entre humains et agents cognitifs. Ce chapitre explore cette métamorphose organisationnelle.</w:t>
      </w:r>
    </w:p>
    <w:p>
      <w:pPr>
        <w:pStyle w:val="Heading2"/>
      </w:pPr>
      <w:r>
        <w:rPr>
          <w:rFonts w:ascii="Arial" w:cs="Arial" w:eastAsia="Arial" w:hAnsi="Arial"/>
          <w:b/>
          <w:bCs/>
        </w:rPr>
        <w:t xml:space="preserve">I.16.1 Métamorphose : De la Chaîne à la Constellation de Valeur</w:t>
      </w:r>
    </w:p>
    <w:p>
      <w:pPr>
        <w:spacing w:after="200" w:line="276"/>
        <w:jc w:val="both"/>
      </w:pPr>
      <w:r>
        <w:rPr>
          <w:rFonts w:ascii="Georgia" w:cs="Georgia" w:eastAsia="Georgia" w:hAnsi="Georgia"/>
          <w:sz w:val="24"/>
          <w:szCs w:val="24"/>
        </w:rPr>
        <w:t xml:space="preserve">Le modèle industriel classique organise le travail en chaînes de valeur linéaires : une séquence d'étapes où chaque maillon ajoute de la valeur avant de passer au suivant. Ce modèle, efficace pour la production de masse, montre ses limites face à la complexité, la personnalisation et la vitesse exigées aujourd'hui. L'entreprise agentique adopte un modèle différent : la constellation de valeur.</w:t>
      </w:r>
    </w:p>
    <w:p>
      <w:pPr>
        <w:spacing w:after="200" w:line="276"/>
        <w:jc w:val="both"/>
      </w:pPr>
      <w:r>
        <w:rPr>
          <w:rFonts w:ascii="Georgia" w:cs="Georgia" w:eastAsia="Georgia" w:hAnsi="Georgia"/>
          <w:sz w:val="24"/>
          <w:szCs w:val="24"/>
        </w:rPr>
        <w:t xml:space="preserve">Dans une constellation de valeur, les capacités — humaines et agentiques — sont des nœuds interconnectés qui se mobilisent dynamiquement selon les besoins. Une demande client n'est pas traitée par une chaîne fixe mais par une coalition d'acteurs assemblée à la volée : un agent de qualification, un expert humain pour les cas complexes, un agent de recherche documentaire, un agent de rédaction, un superviseur humain pour la validation finale. Cette coalition se forme, accomplit sa mission et se dissout.</w:t>
      </w:r>
    </w:p>
    <w:p>
      <w:pPr>
        <w:spacing w:after="200" w:line="276"/>
        <w:jc w:val="both"/>
      </w:pPr>
      <w:r>
        <w:rPr>
          <w:rFonts w:ascii="Georgia" w:cs="Georgia" w:eastAsia="Georgia" w:hAnsi="Georgia"/>
          <w:sz w:val="24"/>
          <w:szCs w:val="24"/>
        </w:rPr>
        <w:t xml:space="preserve">Cette fluidité exige une nouvelle infrastructure organisationnelle. Les compétences — tant humaines qu'agentiques — doivent être cataloguées et découvrables. Les mécanismes d'allocation doivent router les demandes vers les bonnes capacités en temps réel. Les protocoles de collaboration doivent permettre à des acteurs hétérogènes de travailler ensemble efficacement. Le maillage agentique décrit au chapitre I.14 fournit cette infrastructure pour les agents ; son équivalent organisationnel est nécessaire pour les humains.</w:t>
      </w:r>
    </w:p>
    <w:p>
      <w:pPr>
        <w:spacing w:after="200" w:line="276"/>
        <w:jc w:val="both"/>
      </w:pPr>
      <w:r>
        <w:rPr>
          <w:rFonts w:ascii="Georgia" w:cs="Georgia" w:eastAsia="Georgia" w:hAnsi="Georgia"/>
          <w:sz w:val="24"/>
          <w:szCs w:val="24"/>
        </w:rPr>
        <w:t xml:space="preserve">Les implications managériales sont profondes. Le manager traditionnel supervise une équipe stable avec des responsabilités définies. Le manager de constellation orchestre des capacités fluides, compose des équipes éphémères, et assure la cohérence d'ensemble sans contrôle direct sur chaque acteur. Ce rôle s'apparente davantage à un chef d'orchestre qu'à un contremaître.</w:t>
      </w:r>
    </w:p>
    <w:p>
      <w:pPr>
        <w:pStyle w:val="Heading2"/>
      </w:pPr>
      <w:r>
        <w:rPr>
          <w:rFonts w:ascii="Arial" w:cs="Arial" w:eastAsia="Arial" w:hAnsi="Arial"/>
          <w:b/>
          <w:bCs/>
        </w:rPr>
        <w:t xml:space="preserve">I.16.2 Redéfinition du Travail : Le Grand Transfert Cognitif</w:t>
      </w:r>
    </w:p>
    <w:p>
      <w:pPr>
        <w:spacing w:after="200" w:line="276"/>
        <w:jc w:val="both"/>
      </w:pPr>
      <w:r>
        <w:rPr>
          <w:rFonts w:ascii="Georgia" w:cs="Georgia" w:eastAsia="Georgia" w:hAnsi="Georgia"/>
          <w:sz w:val="24"/>
          <w:szCs w:val="24"/>
        </w:rPr>
        <w:t xml:space="preserve">L'automatisation industrielle a transféré le travail physique des humains vers les machines. L'automatisation agentique transfère le travail cognitif routinier des humains vers les agents. Ce « grand transfert cognitif » redéfinit ce que signifie travailler dans une organisation moderne.</w:t>
      </w:r>
    </w:p>
    <w:p>
      <w:pPr>
        <w:spacing w:after="200" w:line="276"/>
        <w:jc w:val="both"/>
      </w:pPr>
      <w:r>
        <w:rPr>
          <w:rFonts w:ascii="Georgia" w:cs="Georgia" w:eastAsia="Georgia" w:hAnsi="Georgia"/>
          <w:sz w:val="24"/>
          <w:szCs w:val="24"/>
        </w:rPr>
        <w:t xml:space="preserve">Les tâches cognitives se distribuent sur un spectre de complexité. À une extrémité, les tâches routinières et structurées : traitement de formulaires, réponses aux questions fréquentes, classification de documents, rédaction de rapports standardisés. Ces tâches sont les candidates naturelles à l'agentification. À l'autre extrémité, les tâches créatives, stratégiques et relationnelles : négociation complexe, innovation, leadership, empathie dans les situations délicates. Ces tâches restent profondément humaines.</w:t>
      </w:r>
    </w:p>
    <w:p>
      <w:pPr>
        <w:spacing w:after="200" w:line="276"/>
        <w:jc w:val="both"/>
      </w:pPr>
      <w:r>
        <w:rPr>
          <w:rFonts w:ascii="Georgia" w:cs="Georgia" w:eastAsia="Georgia" w:hAnsi="Georgia"/>
          <w:sz w:val="24"/>
          <w:szCs w:val="24"/>
        </w:rPr>
        <w:t xml:space="preserve">Entre ces extrêmes, une zone grise où la collaboration humain-agent est la plus féconde. L'analyse de données complexes : l'agent traite les volumes, l'humain interprète les nuances. La création de contenu : l'agent génère des ébauches, l'humain affine et personnalise. La résolution de problèmes : l'agent explore les options, l'humain juge et décide. Dans ces zones, ni l'humain seul ni l'agent seul n'est optimal ; leur collaboration dépasse leurs capacités individuelles.</w:t>
      </w:r>
    </w:p>
    <w:p>
      <w:pPr>
        <w:spacing w:after="200" w:line="276"/>
        <w:jc w:val="both"/>
      </w:pPr>
      <w:r>
        <w:rPr>
          <w:rFonts w:ascii="Georgia" w:cs="Georgia" w:eastAsia="Georgia" w:hAnsi="Georgia"/>
          <w:b w:val="false"/>
          <w:bCs w:val="false"/>
          <w:i w:val="false"/>
          <w:iCs w:val="false"/>
          <w:sz w:val="24"/>
          <w:szCs w:val="24"/>
        </w:rPr>
        <w:t xml:space="preserve">Cette redistribution crée de nouveaux rôles. Le </w:t>
      </w:r>
      <w:r>
        <w:rPr>
          <w:rFonts w:ascii="Georgia" w:cs="Georgia" w:eastAsia="Georgia" w:hAnsi="Georgia"/>
          <w:b/>
          <w:bCs/>
          <w:i/>
          <w:iCs/>
          <w:sz w:val="24"/>
          <w:szCs w:val="24"/>
        </w:rPr>
        <w:t xml:space="preserve">superviseur d'agents</w:t>
      </w:r>
      <w:r>
        <w:rPr>
          <w:rFonts w:ascii="Georgia" w:cs="Georgia" w:eastAsia="Georgia" w:hAnsi="Georgia"/>
          <w:b w:val="false"/>
          <w:bCs w:val="false"/>
          <w:i w:val="false"/>
          <w:iCs w:val="false"/>
          <w:sz w:val="24"/>
          <w:szCs w:val="24"/>
        </w:rPr>
        <w:t xml:space="preserve"> surveille les performances, intervient sur les exceptions, affine les comportements. Le </w:t>
      </w:r>
      <w:r>
        <w:rPr>
          <w:rFonts w:ascii="Georgia" w:cs="Georgia" w:eastAsia="Georgia" w:hAnsi="Georgia"/>
          <w:b/>
          <w:bCs/>
          <w:i/>
          <w:iCs/>
          <w:sz w:val="24"/>
          <w:szCs w:val="24"/>
        </w:rPr>
        <w:t xml:space="preserve">curateur de connaissances</w:t>
      </w:r>
      <w:r>
        <w:rPr>
          <w:rFonts w:ascii="Georgia" w:cs="Georgia" w:eastAsia="Georgia" w:hAnsi="Georgia"/>
          <w:b w:val="false"/>
          <w:bCs w:val="false"/>
          <w:i w:val="false"/>
          <w:iCs w:val="false"/>
          <w:sz w:val="24"/>
          <w:szCs w:val="24"/>
        </w:rPr>
        <w:t xml:space="preserve"> maintient les bases documentaires qui alimentent les agents RAG. L'</w:t>
      </w:r>
      <w:r>
        <w:rPr>
          <w:rFonts w:ascii="Georgia" w:cs="Georgia" w:eastAsia="Georgia" w:hAnsi="Georgia"/>
          <w:b/>
          <w:bCs/>
          <w:i/>
          <w:iCs/>
          <w:sz w:val="24"/>
          <w:szCs w:val="24"/>
        </w:rPr>
        <w:t xml:space="preserve">orchestrateur de workflows</w:t>
      </w:r>
      <w:r>
        <w:rPr>
          <w:rFonts w:ascii="Georgia" w:cs="Georgia" w:eastAsia="Georgia" w:hAnsi="Georgia"/>
          <w:b w:val="false"/>
          <w:bCs w:val="false"/>
          <w:i w:val="false"/>
          <w:iCs w:val="false"/>
          <w:sz w:val="24"/>
          <w:szCs w:val="24"/>
        </w:rPr>
        <w:t xml:space="preserve"> conçoit et optimise les processus hybrides. Ces rôles n'existaient pas il y a cinq ans ; ils deviennent essentiels.</w:t>
      </w:r>
    </w:p>
    <w:p>
      <w:pPr>
        <w:pStyle w:val="Heading2"/>
      </w:pPr>
      <w:r>
        <w:rPr>
          <w:rFonts w:ascii="Arial" w:cs="Arial" w:eastAsia="Arial" w:hAnsi="Arial"/>
          <w:b/>
          <w:bCs/>
        </w:rPr>
        <w:t xml:space="preserve">I.16.3 Partenariat Cognitif : Human-in-the-Loop vs. Human-on-the-Loop</w:t>
      </w:r>
    </w:p>
    <w:p>
      <w:pPr>
        <w:spacing w:after="200" w:line="276"/>
        <w:jc w:val="both"/>
      </w:pPr>
      <w:r>
        <w:rPr>
          <w:rFonts w:ascii="Georgia" w:cs="Georgia" w:eastAsia="Georgia" w:hAnsi="Georgia"/>
          <w:sz w:val="24"/>
          <w:szCs w:val="24"/>
        </w:rPr>
        <w:t xml:space="preserve">L'intégration des humains et des agents dans les processus peut prendre différentes formes, caractérisées par le degré de supervision humaine. Deux modèles dominants émergent : Human-in-the-Loop (HITL) et Human-on-the-Loop (HOTL). Le choix entre ces modèles a des implications majeures sur l'efficacité, la sécurité et la satisfaction des employés.</w:t>
      </w:r>
    </w:p>
    <w:p>
      <w:pPr>
        <w:pStyle w:val="Heading3"/>
      </w:pPr>
      <w:r>
        <w:rPr>
          <w:rFonts w:ascii="Arial" w:cs="Arial" w:eastAsia="Arial" w:hAnsi="Arial"/>
          <w:b/>
          <w:bCs/>
        </w:rPr>
        <w:t xml:space="preserve">Human-in-the-Loop (HITL)</w:t>
      </w:r>
    </w:p>
    <w:p>
      <w:pPr>
        <w:spacing w:after="200" w:line="276"/>
        <w:jc w:val="both"/>
      </w:pPr>
      <w:r>
        <w:rPr>
          <w:rFonts w:ascii="Georgia" w:cs="Georgia" w:eastAsia="Georgia" w:hAnsi="Georgia"/>
          <w:sz w:val="24"/>
          <w:szCs w:val="24"/>
        </w:rPr>
        <w:t xml:space="preserve">Dans le modèle HITL, l'humain intervient activement dans le flux de traitement. L'agent prépare, analyse, recommande ; l'humain valide, corrige, décide. Chaque action significative passe par une approbation humaine. Ce modèle maximise le contrôle et minimise les risques d'erreur autonome.</w:t>
      </w:r>
    </w:p>
    <w:p>
      <w:pPr>
        <w:spacing w:after="200" w:line="276"/>
        <w:jc w:val="both"/>
      </w:pPr>
      <w:r>
        <w:rPr>
          <w:rFonts w:ascii="Georgia" w:cs="Georgia" w:eastAsia="Georgia" w:hAnsi="Georgia"/>
          <w:sz w:val="24"/>
          <w:szCs w:val="24"/>
        </w:rPr>
        <w:t xml:space="preserve">HITL est approprié pour les décisions à fort impact — approbation de prêts, diagnostic médical, actions juridiques — où les erreurs ont des conséquences graves. Il convient également aux phases initiales de déploiement, quand la confiance dans l'agent n'est pas encore établie. L'inconvénient est le goulet d'étranglement humain : la scalabilité est limitée par la capacité de validation des humains.</w:t>
      </w:r>
    </w:p>
    <w:p>
      <w:pPr>
        <w:pStyle w:val="Heading3"/>
      </w:pPr>
      <w:r>
        <w:rPr>
          <w:rFonts w:ascii="Arial" w:cs="Arial" w:eastAsia="Arial" w:hAnsi="Arial"/>
          <w:b/>
          <w:bCs/>
        </w:rPr>
        <w:t xml:space="preserve">Human-on-the-Loop (HOTL)</w:t>
      </w:r>
    </w:p>
    <w:p>
      <w:pPr>
        <w:spacing w:after="200" w:line="276"/>
        <w:jc w:val="both"/>
      </w:pPr>
      <w:r>
        <w:rPr>
          <w:rFonts w:ascii="Georgia" w:cs="Georgia" w:eastAsia="Georgia" w:hAnsi="Georgia"/>
          <w:sz w:val="24"/>
          <w:szCs w:val="24"/>
        </w:rPr>
        <w:t xml:space="preserve">Dans le modèle HOTL, l'agent opère de manière autonome pour la majorité des cas. L'humain supervise à distance, intervenant uniquement quand l'agent signale une incertitude ou quand les métriques indiquent une anomalie. La supervision est statistique plutôt que cas par cas : l'humain vérifie des échantillons, analyse les tendances, ajuste les paramètres.</w:t>
      </w:r>
    </w:p>
    <w:p>
      <w:pPr>
        <w:spacing w:after="200" w:line="276"/>
        <w:jc w:val="both"/>
      </w:pPr>
      <w:r>
        <w:rPr>
          <w:rFonts w:ascii="Georgia" w:cs="Georgia" w:eastAsia="Georgia" w:hAnsi="Georgia"/>
          <w:sz w:val="24"/>
          <w:szCs w:val="24"/>
        </w:rPr>
        <w:t xml:space="preserve">HOTL permet la scalabilité : un superviseur peut surveiller des centaines d'instances d'agents traitant des milliers de cas. Il est approprié pour les décisions à impact modéré et les domaines bien maîtrisés. Le risque est l'érosion de la vigilance humaine : quand l'intervention est rare, les superviseurs peuvent manquer les signaux faibles ou valider par automatisme.</w:t>
      </w:r>
    </w:p>
    <w:p>
      <w:pPr>
        <w:spacing w:before="300" w:after="200"/>
      </w:pPr>
      <w:r>
        <w:rPr>
          <w:rFonts w:ascii="Arial" w:cs="Arial" w:eastAsia="Arial" w:hAnsi="Arial"/>
          <w:b/>
          <w:bCs/>
          <w:i/>
          <w:iCs/>
          <w:sz w:val="22"/>
          <w:szCs w:val="22"/>
        </w:rPr>
        <w:t xml:space="preserve">Tableau I.16.1 — Comparaison HITL et HOTL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Dimension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Human-in-the-Loop</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Human-on-the-Loop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Intervention humaine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Systématique, chaque décision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Par exception, échantillonnage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Scalabilité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Limitée par capacité humaine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Élevée, supervision statistique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Contrôle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Maximum, validation explicite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Indirect, métriques et alertes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Risque principal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Goulet d'étranglement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Érosion de vigilance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Cas d'usage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Décisions critiques, déploiement initial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Volume élevé, domaine maîtrisé</w:t>
            </w:r>
          </w:p>
        </w:tc>
      </w:tr>
    </w:tbl>
    <w:p>
      <w:pPr>
        <w:spacing w:before="300"/>
      </w:pPr>
    </w:p>
    <w:p>
      <w:pPr>
        <w:spacing w:after="200" w:line="276"/>
        <w:jc w:val="both"/>
      </w:pPr>
      <w:r>
        <w:rPr>
          <w:rFonts w:ascii="Georgia" w:cs="Georgia" w:eastAsia="Georgia" w:hAnsi="Georgia"/>
          <w:sz w:val="24"/>
          <w:szCs w:val="24"/>
        </w:rPr>
        <w:t xml:space="preserve">La plupart des organisations adoptent une approche hybride, avec HITL pour certains processus et HOTL pour d'autres. La transition de HITL vers HOTL s'opère progressivement, à mesure que la confiance dans l'agent s'établit par l'accumulation d'expérience positive. Les mécanismes d'escalade permettent à un agent HOTL de basculer dynamiquement en mode HITL face à des situations inhabituelles.</w:t>
      </w:r>
    </w:p>
    <w:p>
      <w:pPr>
        <w:pStyle w:val="Heading2"/>
      </w:pPr>
      <w:r>
        <w:rPr>
          <w:rFonts w:ascii="Arial" w:cs="Arial" w:eastAsia="Arial" w:hAnsi="Arial"/>
          <w:b/>
          <w:bCs/>
        </w:rPr>
        <w:t xml:space="preserve">I.16.4 Leadership à l'Ère Cognitive</w:t>
      </w:r>
    </w:p>
    <w:p>
      <w:pPr>
        <w:spacing w:after="200" w:line="276"/>
        <w:jc w:val="both"/>
      </w:pPr>
      <w:r>
        <w:rPr>
          <w:rFonts w:ascii="Georgia" w:cs="Georgia" w:eastAsia="Georgia" w:hAnsi="Georgia"/>
          <w:sz w:val="24"/>
          <w:szCs w:val="24"/>
        </w:rPr>
        <w:t xml:space="preserve">Le leadership dans l'entreprise agentique exige de nouvelles compétences et postures. Le leader ne gère plus seulement des équipes humaines mais des écosystèmes hybrides où humains et agents collaborent. Cette évolution transforme les dimensions traditionnelles du leadership.</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vision stratégique</w:t>
      </w:r>
      <w:r>
        <w:rPr>
          <w:rFonts w:ascii="Georgia" w:cs="Georgia" w:eastAsia="Georgia" w:hAnsi="Georgia"/>
          <w:b w:val="false"/>
          <w:bCs w:val="false"/>
          <w:i w:val="false"/>
          <w:iCs w:val="false"/>
          <w:sz w:val="24"/>
          <w:szCs w:val="24"/>
        </w:rPr>
        <w:t xml:space="preserve"> doit intégrer les possibilités agentiques. Quels processus transformer ? Quelle valeur créer avec les agents ? Comment se différencier dans un monde où tous les concurrents ont accès aux mêmes technologies ? Le leader doit comprendre suffisamment la technologie pour imaginer ses applications sans se perdre dans les détails techniques.</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gestion du changement</w:t>
      </w:r>
      <w:r>
        <w:rPr>
          <w:rFonts w:ascii="Georgia" w:cs="Georgia" w:eastAsia="Georgia" w:hAnsi="Georgia"/>
          <w:b w:val="false"/>
          <w:bCs w:val="false"/>
          <w:i w:val="false"/>
          <w:iCs w:val="false"/>
          <w:sz w:val="24"/>
          <w:szCs w:val="24"/>
        </w:rPr>
        <w:t xml:space="preserve"> devient critique. L'introduction des agents suscite des inquiétudes légitimes : peur du remplacement, perte de sens, dépendance technologique. Le leader doit accompagner cette transition avec empathie, transparence sur les intentions, et investissement concret dans le développement des compétences.</w:t>
      </w:r>
    </w:p>
    <w:p>
      <w:pPr>
        <w:spacing w:after="200" w:line="276"/>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iCs/>
          <w:sz w:val="24"/>
          <w:szCs w:val="24"/>
        </w:rPr>
        <w:t xml:space="preserve">éthique et la responsabilité</w:t>
      </w:r>
      <w:r>
        <w:rPr>
          <w:rFonts w:ascii="Georgia" w:cs="Georgia" w:eastAsia="Georgia" w:hAnsi="Georgia"/>
          <w:b w:val="false"/>
          <w:bCs w:val="false"/>
          <w:i w:val="false"/>
          <w:iCs w:val="false"/>
          <w:sz w:val="24"/>
          <w:szCs w:val="24"/>
        </w:rPr>
        <w:t xml:space="preserve"> prennent une dimension nouvelle. Qui est responsable quand un agent commet une erreur ? Comment assurer l'équité des décisions automatisées ? Le leader doit établir des principes clairs, des mécanismes de gouvernance, et une culture de responsabilité partagée entre humains et agents.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développement des talents</w:t>
      </w:r>
      <w:r>
        <w:rPr>
          <w:rFonts w:ascii="Georgia" w:cs="Georgia" w:eastAsia="Georgia" w:hAnsi="Georgia"/>
          <w:b w:val="false"/>
          <w:bCs w:val="false"/>
          <w:i w:val="false"/>
          <w:iCs w:val="false"/>
          <w:sz w:val="24"/>
          <w:szCs w:val="24"/>
        </w:rPr>
        <w:t xml:space="preserve"> se réoriente. Les compétences de collaboration avec les agents — prompt engineering, supervision, curation — deviennent aussi importantes que les compétences métier traditionnelles. Le leader investit dans la formation, crée des parcours d'évolution, et valorise ces nouvelles expertises.</w:t>
      </w:r>
    </w:p>
    <w:p>
      <w:pPr>
        <w:pStyle w:val="Heading2"/>
      </w:pPr>
      <w:r>
        <w:rPr>
          <w:rFonts w:ascii="Arial" w:cs="Arial" w:eastAsia="Arial" w:hAnsi="Arial"/>
          <w:b/>
          <w:bCs/>
        </w:rPr>
        <w:t xml:space="preserve">I.16.5 Modèle de Maturité de l'Entreprise Agentique</w:t>
      </w:r>
    </w:p>
    <w:p>
      <w:pPr>
        <w:spacing w:after="200" w:line="276"/>
        <w:jc w:val="both"/>
      </w:pPr>
      <w:r>
        <w:rPr>
          <w:rFonts w:ascii="Georgia" w:cs="Georgia" w:eastAsia="Georgia" w:hAnsi="Georgia"/>
          <w:sz w:val="24"/>
          <w:szCs w:val="24"/>
        </w:rPr>
        <w:t xml:space="preserve">La transformation vers l'entreprise agentique est progressive. Un modèle de maturité aide les organisations à situer leur position actuelle et à planifier leur évolution. Nous proposons cinq niveaux de maturité qui caractérisent cette progression.</w:t>
      </w:r>
    </w:p>
    <w:p>
      <w:pPr>
        <w:spacing w:before="200" w:after="200"/>
      </w:pPr>
      <w:r>
        <w:rPr>
          <w:rFonts w:ascii="Arial" w:cs="Arial" w:eastAsia="Arial" w:hAnsi="Arial"/>
          <w:b/>
          <w:bCs/>
          <w:i/>
          <w:iCs/>
          <w:sz w:val="22"/>
          <w:szCs w:val="22"/>
        </w:rPr>
        <w:t xml:space="preserve">Tableau I.16.2 — Niveaux de Maturité Agentique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Niveau</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Désignation</w:t>
            </w:r>
          </w:p>
        </w:tc>
        <w:tc>
          <w:tcPr>
            <w:tcW w:type="dxa" w:w="6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Caractéristiques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Expérimentation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Pilotes isolés, enthousiasme individuel, absence de stratégie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Adoption ciblée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Cas d'usage validés, équipes dédiées, gouvernance émergente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Industrialisation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Plateforme agentique, processus standards, métriques établies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Intégration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Agents dans tous les processus clés, symbiose humain-agent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Transformation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Modèle opérationnel agentique, avantage compétitif stratégique</w:t>
            </w:r>
          </w:p>
        </w:tc>
      </w:tr>
    </w:tbl>
    <w:p>
      <w:pPr>
        <w:spacing w:before="300"/>
      </w:pPr>
    </w:p>
    <w:p>
      <w:pPr>
        <w:spacing w:after="200" w:line="276"/>
        <w:jc w:val="both"/>
      </w:pPr>
      <w:r>
        <w:rPr>
          <w:rFonts w:ascii="Georgia" w:cs="Georgia" w:eastAsia="Georgia" w:hAnsi="Georgia"/>
          <w:sz w:val="24"/>
          <w:szCs w:val="24"/>
        </w:rPr>
        <w:t xml:space="preserve">La progression entre niveaux n'est pas automatique. Chaque transition exige des investissements spécifiques. De niveau 1 à 2 : validation des cas d'usage et constitution d'équipes. De 2 à 3 : construction de la plateforme et des processus. De 3 à 4 : transformation des processus cœur de métier. De 4 à 5 : refonte du modèle opérationnel et de la proposition de valeur.</w:t>
      </w:r>
    </w:p>
    <w:p>
      <w:pPr>
        <w:pStyle w:val="Heading2"/>
      </w:pPr>
      <w:r>
        <w:rPr>
          <w:rFonts w:ascii="Arial" w:cs="Arial" w:eastAsia="Arial" w:hAnsi="Arial"/>
          <w:b/>
          <w:bCs/>
        </w:rPr>
        <w:t xml:space="preserve">I.16.6 Conclusion : L'Organisation Adaptative</w:t>
      </w:r>
    </w:p>
    <w:p>
      <w:pPr>
        <w:spacing w:after="200" w:line="276"/>
        <w:jc w:val="both"/>
      </w:pPr>
      <w:r>
        <w:rPr>
          <w:rFonts w:ascii="Georgia" w:cs="Georgia" w:eastAsia="Georgia" w:hAnsi="Georgia"/>
          <w:sz w:val="24"/>
          <w:szCs w:val="24"/>
        </w:rPr>
        <w:t xml:space="preserve">L'entreprise agentique n'est pas une organisation traditionnelle augmentée de quelques agents. C'est un nouveau modèle organisationnel où les capacités humaines et agentiques se combinent dynamiquement pour créer de la valeur. La constellation de valeur remplace la chaîne de valeur ; le travail cognitif se redistribue ; les modèles de supervision évoluent ; le leadership se transforme.</w:t>
      </w:r>
    </w:p>
    <w:p>
      <w:pPr>
        <w:spacing w:after="200" w:line="276"/>
        <w:jc w:val="both"/>
      </w:pPr>
      <w:r>
        <w:rPr>
          <w:rFonts w:ascii="Georgia" w:cs="Georgia" w:eastAsia="Georgia" w:hAnsi="Georgia"/>
          <w:sz w:val="24"/>
          <w:szCs w:val="24"/>
        </w:rPr>
        <w:t xml:space="preserve">Cette transformation est autant culturelle que technique. Elle exige de repenser les hypothèses fondamentales sur ce qu'est le travail, qui le fait, et comment il est organisé. Les organisations qui embrassent cette complexité — plutôt que de chercher des solutions simplistes — se positionnent pour prospérer dans l'économie cognitive émergente.</w:t>
      </w:r>
    </w:p>
    <w:p>
      <w:pPr>
        <w:pStyle w:val="Heading2"/>
      </w:pPr>
      <w:r>
        <w:rPr>
          <w:rFonts w:ascii="Arial" w:cs="Arial" w:eastAsia="Arial" w:hAnsi="Arial"/>
          <w:b/>
          <w:bCs/>
        </w:rPr>
        <w:t xml:space="preserve">I.16.7 Résumé</w:t>
      </w:r>
    </w:p>
    <w:p>
      <w:pPr>
        <w:spacing w:after="200" w:line="276"/>
        <w:jc w:val="both"/>
      </w:pPr>
      <w:r>
        <w:rPr>
          <w:rFonts w:ascii="Georgia" w:cs="Georgia" w:eastAsia="Georgia" w:hAnsi="Georgia"/>
          <w:sz w:val="24"/>
          <w:szCs w:val="24"/>
        </w:rPr>
        <w:t xml:space="preserve">Le modèle opérationnel évolue de la chaîne de valeur linéaire vers la constellation de valeur, où les capacités humaines et agentiques se mobilisent dynamiquement. Le « grand transfert cognitif » redistribue le travail : tâches routinières aux agents, tâches créatives et relationnelles aux humains, zone de collaboration au milieu.</w:t>
      </w:r>
    </w:p>
    <w:p>
      <w:pPr>
        <w:spacing w:after="200" w:line="276"/>
        <w:jc w:val="both"/>
      </w:pPr>
      <w:r>
        <w:rPr>
          <w:rFonts w:ascii="Georgia" w:cs="Georgia" w:eastAsia="Georgia" w:hAnsi="Georgia"/>
          <w:sz w:val="24"/>
          <w:szCs w:val="24"/>
        </w:rPr>
        <w:t xml:space="preserve">Le partenariat cognitif prend deux formes principales. Human-in-the-Loop pour le contrôle maximal avec validation systématique. Human-on-the-Loop pour la scalabilité avec supervision statistique. La plupart des organisations adoptent une approche hybride selon les processus et les niveaux de risque.</w:t>
      </w:r>
    </w:p>
    <w:p>
      <w:pPr>
        <w:spacing w:after="200" w:line="276"/>
        <w:jc w:val="both"/>
      </w:pPr>
      <w:r>
        <w:rPr>
          <w:rFonts w:ascii="Georgia" w:cs="Georgia" w:eastAsia="Georgia" w:hAnsi="Georgia"/>
          <w:sz w:val="24"/>
          <w:szCs w:val="24"/>
        </w:rPr>
        <w:t xml:space="preserve">Le leadership à l'ère cognitive intègre vision stratégique des possibilités agentiques, gestion du changement avec empathie, responsabilité éthique et développement des talents. Le modèle de maturité en cinq niveaux — expérimentation, adoption, industrialisation, intégration, transformation — guide la progression.</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Gouvernance Constitutionnelle et l'Impératif d'Alignement de l'IA</w:t>
      </w:r>
      <w:r>
        <w:rPr>
          <w:rFonts w:ascii="Georgia" w:cs="Georgia" w:eastAsia="Georgia" w:hAnsi="Georgia"/>
          <w:b w:val="false"/>
          <w:bCs w:val="false"/>
          <w:i/>
          <w:iCs/>
          <w:sz w:val="24"/>
          <w:szCs w:val="24"/>
        </w:rPr>
        <w:t xml:space="preserve">, aborde la question fondamentale du contrôle. Comment s'assurer que des agents autonomes agissent conformément aux intentions de l'organisation et aux normes éthiques ? L'IA Constitutionnelle et la gouvernance par principes offrent un cadre pour encoder les valeurs et les limites dans le comportement même des agents.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4 : L'Ère Agentique et Gouvernance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2026-01-11T10:32:20.224Z</dcterms:created>
  <dcterms:modified xsi:type="dcterms:W3CDTF">2026-01-11T10:32:20.225Z</dcterms:modified>
</cp:coreProperties>
</file>

<file path=docProps/custom.xml><?xml version="1.0" encoding="utf-8"?>
<Properties xmlns="http://schemas.openxmlformats.org/officeDocument/2006/custom-properties" xmlns:vt="http://schemas.openxmlformats.org/officeDocument/2006/docPropsVTypes"/>
</file>